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center"/>
        <w:rPr>
          <w:rFonts w:ascii="Arial" w:hAnsi="Arial" w:cs="Arial"/>
          <w:sz w:val="18"/>
          <w:szCs w:val="18"/>
        </w:rPr>
      </w:pPr>
      <w:r w:rsidRPr="00872038">
        <w:rPr>
          <w:rStyle w:val="Forte"/>
          <w:rFonts w:ascii="Arial" w:hAnsi="Arial" w:cs="Arial"/>
          <w:sz w:val="20"/>
          <w:szCs w:val="20"/>
        </w:rPr>
        <w:t>DECRETO Nº 17.333, DE 16 DE ABRIL DE 2020.</w:t>
      </w: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ind w:firstLine="709"/>
        <w:rPr>
          <w:rFonts w:ascii="Arial" w:hAnsi="Arial" w:cs="Arial"/>
          <w:sz w:val="18"/>
          <w:szCs w:val="18"/>
        </w:rPr>
      </w:pP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ind w:left="3402"/>
        <w:jc w:val="both"/>
        <w:rPr>
          <w:rFonts w:ascii="Arial" w:hAnsi="Arial" w:cs="Arial"/>
          <w:b/>
          <w:sz w:val="18"/>
          <w:szCs w:val="18"/>
        </w:rPr>
      </w:pPr>
      <w:r w:rsidRPr="00872038">
        <w:rPr>
          <w:rFonts w:ascii="Arial" w:hAnsi="Arial" w:cs="Arial"/>
          <w:b/>
          <w:sz w:val="20"/>
          <w:szCs w:val="20"/>
        </w:rPr>
        <w:t>Dispõe sobre medidas de contingenciamento orçamentário e financeiro no âmbito do Poder Executivo.</w:t>
      </w: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ind w:left="3402"/>
        <w:jc w:val="both"/>
        <w:rPr>
          <w:rFonts w:ascii="Arial" w:hAnsi="Arial" w:cs="Arial"/>
          <w:b/>
          <w:sz w:val="18"/>
          <w:szCs w:val="18"/>
        </w:rPr>
      </w:pP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  <w:r w:rsidRPr="00872038">
        <w:rPr>
          <w:rFonts w:ascii="Arial" w:hAnsi="Arial" w:cs="Arial"/>
          <w:sz w:val="20"/>
          <w:szCs w:val="20"/>
        </w:rPr>
        <w:t>O Prefeito de Belo Horizonte, no exercício da atribuição que lhe confere o inciso VII do art. 108 da Lei Orgânica e considerando o disposto no Decreto nº 17.297, de 17 de março de 2020, e no art. 7º do Decreto nº 17.263, de 24 de janeiro de 2020,</w:t>
      </w:r>
      <w:r>
        <w:rPr>
          <w:rFonts w:ascii="Arial" w:hAnsi="Arial" w:cs="Arial"/>
          <w:sz w:val="18"/>
          <w:szCs w:val="18"/>
        </w:rPr>
        <w:t xml:space="preserve"> decreta</w:t>
      </w:r>
      <w:r w:rsidRPr="00872038">
        <w:rPr>
          <w:rFonts w:ascii="Arial" w:hAnsi="Arial" w:cs="Arial"/>
          <w:sz w:val="20"/>
          <w:szCs w:val="20"/>
        </w:rPr>
        <w:t>:</w:t>
      </w: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  <w:r w:rsidRPr="00872038">
        <w:rPr>
          <w:rFonts w:ascii="Arial" w:hAnsi="Arial" w:cs="Arial"/>
          <w:sz w:val="20"/>
          <w:szCs w:val="20"/>
        </w:rPr>
        <w:t>Art. 1º – Este decreto dispõe sobre medidas de contingenciamento de despesas, correntes e de capital, que deverão ser observadas pelos órgãos e entidades do Poder Executivo, financiadas com Recursos Ordinários do Tesouro – ROT.</w:t>
      </w: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  <w:r w:rsidRPr="00872038">
        <w:rPr>
          <w:rFonts w:ascii="Arial" w:hAnsi="Arial" w:cs="Arial"/>
          <w:sz w:val="20"/>
          <w:szCs w:val="20"/>
        </w:rPr>
        <w:t>Art. 2º – Os limites de custeio dos órgãos e entidades do Poder Executivo estabelecidos no art. 2º e no Anexo I do Decreto nº 17.263, de 24 de janeiro de 2020, deverão ser contingenciados de acordo com deliberação específica da Câmara de Coordenação Geral – CCG –, com objetivo de redução global de 15%.</w:t>
      </w:r>
    </w:p>
    <w:p w:rsid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20"/>
          <w:szCs w:val="20"/>
        </w:rPr>
      </w:pP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  <w:r w:rsidRPr="00872038">
        <w:rPr>
          <w:rFonts w:ascii="Arial" w:hAnsi="Arial" w:cs="Arial"/>
          <w:sz w:val="20"/>
          <w:szCs w:val="20"/>
        </w:rPr>
        <w:t>Parágrafo único – Considerando o contingenciamento, previsto no </w:t>
      </w:r>
      <w:r w:rsidRPr="00872038">
        <w:rPr>
          <w:rStyle w:val="nfase"/>
          <w:rFonts w:ascii="Arial" w:hAnsi="Arial" w:cs="Arial"/>
          <w:sz w:val="20"/>
          <w:szCs w:val="20"/>
        </w:rPr>
        <w:t>caput</w:t>
      </w:r>
      <w:r w:rsidRPr="00872038">
        <w:rPr>
          <w:rFonts w:ascii="Arial" w:hAnsi="Arial" w:cs="Arial"/>
          <w:sz w:val="20"/>
          <w:szCs w:val="20"/>
        </w:rPr>
        <w:t>, deverá ser encaminhada reprogramação orçamentária à Subsecretaria de Planejamento e Orçamento, até 4 de maio de 2020, com o mesmo detalhamento da programação inicial do exercício.</w:t>
      </w: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  <w:r w:rsidRPr="00872038">
        <w:rPr>
          <w:rFonts w:ascii="Arial" w:hAnsi="Arial" w:cs="Arial"/>
          <w:sz w:val="20"/>
          <w:szCs w:val="20"/>
        </w:rPr>
        <w:t>Art. 3º – Os contratos de aluguel deverão ser negociados com objetivo de reduzir em 10% (dez por cento) seu valor nominal para os meses de maio a dezembro de 2020.</w:t>
      </w: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  <w:r w:rsidRPr="00872038">
        <w:rPr>
          <w:rFonts w:ascii="Arial" w:hAnsi="Arial" w:cs="Arial"/>
          <w:sz w:val="20"/>
          <w:szCs w:val="20"/>
        </w:rPr>
        <w:t>Art. 4º – A taxa de administração dos contratos de prestação de serviço de mão de obra terceirizada deverá ser limitada em 7% (sete por cento).</w:t>
      </w: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  <w:r w:rsidRPr="00872038">
        <w:rPr>
          <w:rFonts w:ascii="Arial" w:hAnsi="Arial" w:cs="Arial"/>
          <w:sz w:val="20"/>
          <w:szCs w:val="20"/>
        </w:rPr>
        <w:t>Parágrafo único – Os contratos vigentes que possuem percentual superior ao disposto no </w:t>
      </w:r>
      <w:r w:rsidRPr="00872038">
        <w:rPr>
          <w:rStyle w:val="nfase"/>
          <w:rFonts w:ascii="Arial" w:hAnsi="Arial" w:cs="Arial"/>
          <w:sz w:val="20"/>
          <w:szCs w:val="20"/>
        </w:rPr>
        <w:t>caput</w:t>
      </w:r>
      <w:r w:rsidRPr="00872038">
        <w:rPr>
          <w:rFonts w:ascii="Arial" w:hAnsi="Arial" w:cs="Arial"/>
          <w:sz w:val="20"/>
          <w:szCs w:val="20"/>
        </w:rPr>
        <w:t> deverão ser aditados em até trinta dias.</w:t>
      </w: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  <w:r w:rsidRPr="00872038">
        <w:rPr>
          <w:rFonts w:ascii="Arial" w:hAnsi="Arial" w:cs="Arial"/>
          <w:sz w:val="20"/>
          <w:szCs w:val="20"/>
        </w:rPr>
        <w:t>Art. 5º – Os contratos de prestação de serviços de transporte deverão ser renegociados, reduzindo-se a quilometragem e o tempo de disponibilidade em 25% (vinte e cinco por cento) e proporcionalmente o valor da despesa.</w:t>
      </w: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  <w:r w:rsidRPr="00872038">
        <w:rPr>
          <w:rFonts w:ascii="Arial" w:hAnsi="Arial" w:cs="Arial"/>
          <w:sz w:val="20"/>
          <w:szCs w:val="20"/>
        </w:rPr>
        <w:t>Parágrafo único – Em virtude do exposto no </w:t>
      </w:r>
      <w:r w:rsidRPr="00872038">
        <w:rPr>
          <w:rStyle w:val="nfase"/>
          <w:rFonts w:ascii="Arial" w:hAnsi="Arial" w:cs="Arial"/>
          <w:sz w:val="20"/>
          <w:szCs w:val="20"/>
        </w:rPr>
        <w:t>caput</w:t>
      </w:r>
      <w:r w:rsidRPr="00872038">
        <w:rPr>
          <w:rFonts w:ascii="Arial" w:hAnsi="Arial" w:cs="Arial"/>
          <w:sz w:val="20"/>
          <w:szCs w:val="20"/>
        </w:rPr>
        <w:t>, a quantidade de veículos que atualmente prestam serviços à Prefeitura não deverá ser reduzida.</w:t>
      </w: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  <w:r w:rsidRPr="00872038">
        <w:rPr>
          <w:rFonts w:ascii="Arial" w:hAnsi="Arial" w:cs="Arial"/>
          <w:sz w:val="20"/>
          <w:szCs w:val="20"/>
        </w:rPr>
        <w:t>Art. 6º – Ficam suspensas as viagens nacionais e internacionais e os cursos de capacitação para servidores.</w:t>
      </w: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  <w:r w:rsidRPr="00872038">
        <w:rPr>
          <w:rFonts w:ascii="Arial" w:hAnsi="Arial" w:cs="Arial"/>
          <w:sz w:val="20"/>
          <w:szCs w:val="20"/>
        </w:rPr>
        <w:t xml:space="preserve">Art. 7º – O limite de recursos autorizado pela CCG para despesas de Obras e Manutenção da Cidade, deverá </w:t>
      </w:r>
      <w:bookmarkStart w:id="0" w:name="_GoBack"/>
      <w:bookmarkEnd w:id="0"/>
      <w:r w:rsidRPr="00872038">
        <w:rPr>
          <w:rFonts w:ascii="Arial" w:hAnsi="Arial" w:cs="Arial"/>
          <w:sz w:val="20"/>
          <w:szCs w:val="20"/>
        </w:rPr>
        <w:t>ser contingenciado em 25% (vinte e cinco por cento).</w:t>
      </w: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  <w:r w:rsidRPr="00872038">
        <w:rPr>
          <w:rFonts w:ascii="Arial" w:hAnsi="Arial" w:cs="Arial"/>
          <w:sz w:val="20"/>
          <w:szCs w:val="20"/>
        </w:rPr>
        <w:t>Art. 8º – A Secretaria Municipal de Fazenda deverá, observando a legislação federal, renegociar os contratos de operação de crédito, com o objetivo de reduzir o valor de pagamento de juros e de amortização da dívida pública em 2020.</w:t>
      </w: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  <w:r w:rsidRPr="00872038">
        <w:rPr>
          <w:rFonts w:ascii="Arial" w:hAnsi="Arial" w:cs="Arial"/>
          <w:sz w:val="20"/>
          <w:szCs w:val="20"/>
        </w:rPr>
        <w:t>Art. 9º – A CCG deverá deliberar sobre casos não tratados neste decreto ou sobre excepcionalidades à regra.</w:t>
      </w: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  <w:r w:rsidRPr="00872038">
        <w:rPr>
          <w:rFonts w:ascii="Arial" w:hAnsi="Arial" w:cs="Arial"/>
          <w:sz w:val="20"/>
          <w:szCs w:val="20"/>
        </w:rPr>
        <w:t xml:space="preserve">Art. 10 – O disposto nos </w:t>
      </w:r>
      <w:proofErr w:type="spellStart"/>
      <w:r w:rsidRPr="00872038">
        <w:rPr>
          <w:rFonts w:ascii="Arial" w:hAnsi="Arial" w:cs="Arial"/>
          <w:sz w:val="20"/>
          <w:szCs w:val="20"/>
        </w:rPr>
        <w:t>arts</w:t>
      </w:r>
      <w:proofErr w:type="spellEnd"/>
      <w:r w:rsidRPr="00872038">
        <w:rPr>
          <w:rFonts w:ascii="Arial" w:hAnsi="Arial" w:cs="Arial"/>
          <w:sz w:val="20"/>
          <w:szCs w:val="20"/>
        </w:rPr>
        <w:t>. 1º, 5º e 6º não se aplica à Secretaria Municipal de Saúde e à Secretaria Municipal de Assistência Social, Segurança Alimentar e Cidadania.</w:t>
      </w: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  <w:r w:rsidRPr="00872038">
        <w:rPr>
          <w:rFonts w:ascii="Arial" w:hAnsi="Arial" w:cs="Arial"/>
          <w:sz w:val="20"/>
          <w:szCs w:val="20"/>
        </w:rPr>
        <w:t>Art. 11 – Este decreto entra em vigor na data de sua publicação.</w:t>
      </w: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  <w:r w:rsidRPr="00872038">
        <w:rPr>
          <w:rFonts w:ascii="Arial" w:hAnsi="Arial" w:cs="Arial"/>
          <w:sz w:val="20"/>
          <w:szCs w:val="20"/>
        </w:rPr>
        <w:t>Belo Horizonte, 16 de abril de 2020.</w:t>
      </w: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  <w:r w:rsidRPr="00872038">
        <w:rPr>
          <w:rStyle w:val="nfase"/>
          <w:rFonts w:ascii="Arial" w:hAnsi="Arial" w:cs="Arial"/>
          <w:sz w:val="20"/>
          <w:szCs w:val="20"/>
        </w:rPr>
        <w:t>Alexandre Kalil</w:t>
      </w:r>
    </w:p>
    <w:p w:rsidR="00872038" w:rsidRPr="00872038" w:rsidRDefault="00872038" w:rsidP="00872038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rFonts w:ascii="Arial" w:hAnsi="Arial" w:cs="Arial"/>
          <w:sz w:val="18"/>
          <w:szCs w:val="18"/>
        </w:rPr>
      </w:pPr>
      <w:r w:rsidRPr="00872038">
        <w:rPr>
          <w:rStyle w:val="Forte"/>
          <w:rFonts w:ascii="Arial" w:hAnsi="Arial" w:cs="Arial"/>
          <w:sz w:val="20"/>
          <w:szCs w:val="20"/>
        </w:rPr>
        <w:t>Prefeito de Belo Horizonte</w:t>
      </w:r>
    </w:p>
    <w:p w:rsidR="0034396E" w:rsidRPr="00872038" w:rsidRDefault="0034396E" w:rsidP="00872038">
      <w:pPr>
        <w:jc w:val="both"/>
        <w:rPr>
          <w:rFonts w:ascii="Arial" w:hAnsi="Arial" w:cs="Arial"/>
        </w:rPr>
      </w:pPr>
    </w:p>
    <w:sectPr w:rsidR="0034396E" w:rsidRPr="008720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038"/>
    <w:rsid w:val="0034396E"/>
    <w:rsid w:val="00872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CEDDC3-1994-424B-A1E6-EADE90970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2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72038"/>
    <w:rPr>
      <w:b/>
      <w:bCs/>
    </w:rPr>
  </w:style>
  <w:style w:type="character" w:styleId="nfase">
    <w:name w:val="Emphasis"/>
    <w:basedOn w:val="Fontepargpadro"/>
    <w:uiPriority w:val="20"/>
    <w:qFormat/>
    <w:rsid w:val="008720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99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457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</dc:creator>
  <cp:keywords/>
  <dc:description/>
  <cp:lastModifiedBy>Felipe</cp:lastModifiedBy>
  <cp:revision>1</cp:revision>
  <dcterms:created xsi:type="dcterms:W3CDTF">2020-04-17T11:43:00Z</dcterms:created>
  <dcterms:modified xsi:type="dcterms:W3CDTF">2020-04-17T11:49:00Z</dcterms:modified>
</cp:coreProperties>
</file>