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08/07/2020 - 13h30min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10ª Ordinária e 4ª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346/2017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procedimento extrajudicial para cobrança de débito constantes em dívida ativa a ser adotado pela administração pública direta e indireta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Orlei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Pedrão do Depósito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b/>
                <w:sz w:val="20"/>
              </w:rPr>
              <w:t>Proposta de diligência</w:t>
            </w:r>
            <w:r>
              <w:rPr/>
              <w:t xml:space="preserve"> substituída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855/2019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7.169, de 30 de agosto de 1996, que institui o Estatuto dos Servidores Públicos do Quadro Geral de Pessoal do Município de Belo Horizonte vinculados à administração direta,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23, de 10/09/2019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924/2019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GABPREF/DALE N° 62/2020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Gabinete do Prefeito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239</Words>
  <Characters>1391</Characters>
  <CharactersWithSpaces>1586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2020-07-08T14:21:12Z</dcterms:modified>
  <cp:revision>1</cp:revision>
  <dc:subject/>
  <dc:title/>
</cp:coreProperties>
</file>