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27/10/2020 - 13h30min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30ª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836/2019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âmbito do município de Belo Horizonte o projeto Adote um Complexo Esportivo, Quadra e Campo de Futebol,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1035/2020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direitos e obrigações relativos à manutenção dos desfiles dos blocos caricatos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1038/2020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autorização para os artesãos participarem dos eventos temporários licenciados no município de belo horizonte 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Álvaro Damião; Autair Gomes; Edmar Branco; Elvis Côrtes; Irlan Melo; Jair Di Gregório; Jorge Santos; Pedro Bueno; Preto; Professor Juliano Lopes; Reinaldo Gomes; Wesley Autoescola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1046/2020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de Transparência nas Obras Públicas Municipais.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Bernardo Ramos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juridicidade,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1047/2020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instalação de salas de apoio à amamentação em órgãos e entidades públicas municipais.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antijuridicidade,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1048/2020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utilização de lacre inviolável nas embalagens de alimentos entregues em domicílio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1034/2020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da Pastora Maria Adriana à Rua C (303663), no Bairro Independência.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1042/2020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Adailton da Silva Ganga à Rua D (303664), no Bairro Independência.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001865/2020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19/10/2020, informando que o Ver. Coronel Piccinini se ausentou por motivo de saúde no dia 09/10/2020, de 14:30 às 15:30.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Coronel Piccinini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3</Pages>
  <Words>523</Words>
  <Characters>3224</Characters>
  <CharactersWithSpaces>3662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2020-10-27T14:10:02Z</dcterms:modified>
  <cp:revision>1</cp:revision>
  <dc:subject/>
  <dc:title/>
</cp:coreProperties>
</file>