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36ª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01/12/2020 - 13h30min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35ª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o Projeto de Lei nº 961/2020</w:t>
      </w:r>
    </w:p>
    <w:p>
      <w:pPr>
        <w:pStyle w:val="RequerimentoOrigemAudienciaPublica"/>
        <w:rPr/>
      </w:pPr>
      <w:r>
        <w:rPr/>
        <w:t>Requerimento de Comissão 775/2020  - Autoria: Ver.(a) Léo Burguês de Castro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André Abreu Reis - Secretário Municipal de Planejamento, Orçamento e Gestão</w:t>
      </w:r>
    </w:p>
    <w:p>
      <w:pPr>
        <w:pStyle w:val="Normal"/>
        <w:spacing w:before="0" w:after="0"/>
        <w:rPr/>
      </w:pPr>
      <w:r>
        <w:rPr/>
        <w:t>- Israel Arimar de Moura - Presidente do Sindicato dos Servidores Públicos Municipais de Belo Horizonte - Sindibel</w:t>
      </w:r>
    </w:p>
    <w:p>
      <w:pPr>
        <w:pStyle w:val="Normal"/>
        <w:spacing w:before="0" w:after="0"/>
        <w:rPr/>
      </w:pPr>
      <w:r>
        <w:rPr/>
        <w:t>- Gleison Pereira de Souza - Subsecretário de Gestão Previdenciária</w:t>
      </w:r>
    </w:p>
    <w:p>
      <w:pPr>
        <w:pStyle w:val="Normal"/>
        <w:spacing w:before="0" w:after="0"/>
        <w:rPr/>
      </w:pPr>
      <w:r>
        <w:rPr/>
        <w:t>- Vanessa Portugal - Diretora do Sindicato dos Trabalhadores em Educação da Rede Pública Municipal de Belo Horizonte - Sind-Rede/BH</w:t>
      </w:r>
    </w:p>
    <w:p>
      <w:pPr>
        <w:pStyle w:val="Normal"/>
        <w:spacing w:before="0" w:after="0"/>
        <w:rPr/>
      </w:pPr>
      <w:r>
        <w:rPr/>
        <w:t>- Luciano Tomaz da Silva - Guarda Civil Municipal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780/2020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776/2020)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 xml:space="preserve">Discutir assuntos pertinentes ao funcionamento da Feira de Artesanatos da Avenida Afonso Pena, sua situação atual após o retorno de seu funcionamento.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1031/2020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Assegura atendimento prioritário às pessoas que especifica.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Bolsonaro Di Gregório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Carlos Henrique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1045/2020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6.705, de 5 de agosto de 1994, que dispõe sobre a Função Pública de Conselheiro Tutelar do Município de Belo Horizonte, e a Lei n° 8.502, de 6 de março de 2003, que dispõe sobre a política municipal de atendimento dos direitos da criança e do adolescente.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11, de 29/09/2020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332</Words>
  <Characters>1876</Characters>
  <CharactersWithSpaces>2159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2020-12-01T14:07:28Z</dcterms:modified>
  <cp:revision>1</cp:revision>
  <dc:subject/>
  <dc:title/>
</cp:coreProperties>
</file>