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02/03/2021 - 13h30min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684/2018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isenção do Imposto Sobre a Propriedade Predial e Territorial Urbana - IPTU - ao imóvel pertencente a associação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ilegalidade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826/2019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9.814, de 18 de janeiro de 2010, que autoriza o Executivo a doar áreas de propriedade do Município e a realizar aporte financeiro ao Fundo de Arrendamento Residencial - FAR -, representado pela Caixa Econômica Federal; institui isenção de tributos para operações vinculadas ao Programa Minha Casa, Minha Vida, nas condições especificadas, e dá outra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19, de 06/08/2019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>
          <w:b w:val="false"/>
          <w:bCs w:val="false"/>
        </w:rPr>
        <w:t>Pela constitucionalidade das emendas 2, 3, 5, 7 e 8, pela legalidade e juridicidade das emendas 2, 3, 5 e 8, apresentadas ao Projeto de Lei nº 826/2019. Pela inconstitucionalidade das emendas 4 e 6, e pela ilegalidade e antijuridicidade das emendas 4, 6 e 7, com apresentação de subemenda à emenda-substitutivo nº 7. Pela regimentalidade das emendas 2, 3, 4, 5, 6, 7 e 8.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855/2019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7.169, de 30 de agosto de 1996, que institui o Estatuto dos Servidores Públicos do Quadro Geral de Pessoal do Município de Belo Horizonte vinculados à administração direta,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23, de 10/09/2019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2,3 e 4.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967/2020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9.041 de 14 de janeiro de 2005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Autair Gomes; Carlos Henrique; Irlan Melo; Jair Bolsonaro Di Gregório; Jorge Santos; Preto; Professor Juliano Lopes; Wesley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não apreciado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Apresentada proposta de diligência: Pedido de informação.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1026/2020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contratar operações de crédito junto ao Banco Internacional para Reconstrução e Desenvolvimento - Bird -, ou a outra instituição financeira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10, de 19/08/2020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legalidade, juridicidade e regimentalidade das emendas 1 e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desafetação e a alienação da área que menciona no bairro Palmeiras para fins de Regularização Fundiária Urbana (Reurb).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Direitos Humanos e Defesa do Consumidor</w:t>
      </w:r>
    </w:p>
    <w:p>
      <w:pPr>
        <w:pStyle w:val="NumeracaoProposicao"/>
        <w:rPr>
          <w:b/>
          <w:b/>
        </w:rPr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>
          <w:b w:val="false"/>
          <w:bCs w:val="false"/>
        </w:rPr>
        <w:t>Pedido de informação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 xml:space="preserve">Apresentada proposta de diligência: </w:t>
            </w:r>
            <w:r>
              <w:rPr>
                <w:b w:val="false"/>
                <w:bCs w:val="false"/>
              </w:rPr>
              <w:t>Pedido de informação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Ratifica as alterações realizadas no Protocolo de Intenções e no Contrato de Consórcio Público firmado entre o Município e o Consórcio Regional de Promoção da Cidadania Mulheres das Gerais.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15, de 23/12/2020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juridicidade,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art. 93-D à Lei n° 8.616/03,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22/2021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diretrizes para a criação de escolas bilíngues em Língua Brasileira de Sinais - Libras - e língua Portuguesa na rede municipal de ensino.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>
          <w:b w:val="false"/>
          <w:b w:val="false"/>
          <w:bCs w:val="false"/>
        </w:rPr>
      </w:pP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  <w:t>Parecer não emitido</w:t>
      </w:r>
      <w:r>
        <w:rPr>
          <w:b w:val="false"/>
          <w:bCs w:val="false"/>
        </w:rPr>
        <w:t xml:space="preserve"> 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36/2021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título Empresa Amiga da Criança e do Adolescente, no âmbito do município de Belo Horizonte,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tramitação pelo deferimento do Requerimento 78/2021.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41/2021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Lei Municipal de Inclusão da Pessoa com Deficiência e da Pessoa com Mobilidade Reduzida.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</w:t>
            </w:r>
            <w:r>
              <w:rPr/>
              <w:t>da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865/2019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8.570/03 que "Dispõe sobre a criação da Notificação Compulsória da Violência contra a Mulher e da Comissão de Monitoramento de Violência contra a Mulher".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Nely Aquino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999/2020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8.260, de 3 de dezembro de 2001, que "Institui a Política Municipal de Saneamento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Álvaro Damião; Autair Gomes; Bella Gonçalves; Bim da Ambulância; Catatau do Povo; César Gordin; Edmar Branco; Elvis Côrtes; Fernando Luiz; Gabriel; Jair Bolsonaro Di Gregório; Jorge Santos; Léo; Maninho Félix; Nely Aquino; Pedro Bueno; Preto; Professor Juliano Lopes; Reinaldo Gomes Preto Sacolão; Wesley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LibreOffice/6.3.4.2$Windows_X86_64 LibreOffice_project/60da17e045e08f1793c57c00ba83cdfce946d0aa</Application>
  <Pages>4</Pages>
  <Words>948</Words>
  <Characters>5413</Characters>
  <CharactersWithSpaces>6246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2021-03-02T15:18:05Z</dcterms:modified>
  <cp:revision>2</cp:revision>
  <dc:subject/>
  <dc:title/>
</cp:coreProperties>
</file>