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MULHERES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35ª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05/11/2021 - 10h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 xml:space="preserve">Audiência Pública: </w:t>
      </w:r>
      <w:r>
        <w:rPr/>
        <w:t>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88/2021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o Dossiê das Mulheres de Belo Horizonte, na forma que menciona,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Iza Lourença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Relator não designado</w:t>
      </w:r>
    </w:p>
    <w:p>
      <w:pPr>
        <w:pStyle w:val="NumeracaoProposicao"/>
        <w:rPr/>
      </w:pPr>
      <w:r>
        <w:rPr>
          <w:b/>
        </w:rPr>
        <w:t xml:space="preserve">CONCLUSÃO DO PARECER: 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162/2021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aos artigos 1º e 2º da Lei nº 8176/2001, que "Estabelece penalidade para estabelecimento que discriminar pessoa em virtude de sua orientação sexual,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Flávia Borja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LibreOffice/6.3.4.2$Windows_X86_64 LibreOffice_project/60da17e045e08f1793c57c00ba83cdfce946d0aa</Application>
  <Pages>1</Pages>
  <Words>159</Words>
  <Characters>901</Characters>
  <CharactersWithSpaces>1028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2021-11-05T10:46:03Z</dcterms:modified>
  <cp:revision>2</cp:revision>
  <dc:subject/>
  <dc:title/>
</cp:coreProperties>
</file>