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29/03/2022 - 13h30min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7ª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254/2022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normas de Governança Pública e Gestão de Riscos para gestão fiscal, orçamentária e do desempenho da receita e da despesa do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Tabu; José Ferreira; Professora Marli; Rubão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266/2022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à Seção III do Capítulo IV do Título III da Lei nº 8.616/03, que "Contém o Código de Posturas do Município de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antijuridicidade,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Designado novo Relator o Ver. Irlan Melo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268/2022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prazo da concessão de isenção de IPTU para imóvel próprio, cedido ou alugado, que esteja sendo utilizado como templo religioso de qualquer culto, sem a necessidade de pedido anual de isenção.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Guimarães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280/2022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plano de carreira dos ocupantes dos cargos efetivos da Fundação de Parques Municipais e Zoobotânica, concede reajustes remuneratórios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11, de 15/03/2022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281/2022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Concede reajustes remuneratórios aos servidores e empregados públicos integrantes da carreira de Medicina da administração direta e indireta do Poder Executivo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12, de 16/03/2022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282/2022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desafetação de bem público e autoriza sua alienação mediante venda ou permuta.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285/2022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Reconhece o risco da atividade de colecionador, de caçador e de atirador desportivo integrante de entidades de desporto legalmente constituídas, nos termos do art. 6º, IX, da Lei Federal nº 10.826/03.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Nikolas Ferreira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239/2021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Jornalista Hélio Fraga à Rua Tres Mil Novecentos e Oitenta e Um localizada no bairro Buritis.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248/2022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denominação ao logradouro que menciona, localizado no bairro Santa Branca.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253/2022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Calendário Oficial do Município de Belo Horizonte "Semana Municipal de Conscientização do Uso do Cordão de Girassol" e da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Marcos Crispim; Nely Aquino; Reinaldo Gomes Preto Sacolão; Walter Tosta;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4</Pages>
  <Words>639</Words>
  <Characters>3819</Characters>
  <CharactersWithSpaces>4366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2022-03-29T14:26:03Z</dcterms:modified>
  <cp:revision>1</cp:revision>
  <dc:subject/>
  <dc:title/>
</cp:coreProperties>
</file>