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06/05/2022 - 14h30min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Aprovação da ata: 33ª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96/2021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"Autoriza a desafetação e alienação do bem imóvel que menciona"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233/2021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art. 4º da Lei n. 11.318/2021, que "Institui a Política Municipal de Promoção da Arte Urbana do Grafite e de Combate à Pichação no Espaço Público Urbano".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Braulio Lara; Marcela Trópia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68/2022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 Comissão de Meio Ambiente, Defesa dos Animais e Política Urbana, Comissão de Administração Pública e Comissão de Orçamento e Finanças em primeiro turno.  - Projeto de Lei 328/2022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240</Words>
  <Characters>1451</Characters>
  <CharactersWithSpaces>1663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