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>
          <w:lang w:val="pt-BR"/>
        </w:rPr>
      </w:pPr>
      <w:r>
        <w:rPr>
          <w:lang w:val="pt-BR"/>
        </w:rPr>
        <w:t>RESULTADO DA REUNIÃO</w:t>
      </w:r>
    </w:p>
    <w:p>
      <w:pPr>
        <w:pStyle w:val="ElementoTituloSuperior"/>
        <w:rPr>
          <w:lang w:val="pt-BR"/>
        </w:rPr>
      </w:pPr>
      <w:r>
        <w:rPr>
          <w:lang w:val="pt-BR"/>
        </w:rPr>
      </w:r>
    </w:p>
    <w:p>
      <w:pPr>
        <w:pStyle w:val="ElementoTituloSuperior"/>
        <w:pBdr>
          <w:bottom w:val="single" w:sz="6" w:space="1" w:color="999999"/>
        </w:pBdr>
        <w:rPr>
          <w:lang w:val="pt-BR"/>
        </w:rPr>
      </w:pPr>
      <w:r>
        <w:rPr>
          <w:lang w:val="pt-BR"/>
        </w:rPr>
      </w:r>
    </w:p>
    <w:p>
      <w:pPr>
        <w:pStyle w:val="Normal"/>
        <w:spacing w:before="0" w:after="0"/>
        <w:rPr>
          <w:sz w:val="8"/>
          <w:lang w:val="pt-BR"/>
        </w:rPr>
      </w:pPr>
      <w:r>
        <w:rPr>
          <w:sz w:val="8"/>
          <w:lang w:val="pt-BR"/>
        </w:rPr>
      </w:r>
    </w:p>
    <w:p>
      <w:pPr>
        <w:pStyle w:val="ElementoTituloSuperior"/>
        <w:rPr>
          <w:lang w:val="pt-BR"/>
        </w:rPr>
      </w:pPr>
      <w:r>
        <w:rPr>
          <w:lang w:val="pt-BR"/>
        </w:rPr>
        <w:t>COMISSÃO DE LEGISLAÇÃO E JUSTIÇA</w:t>
      </w:r>
    </w:p>
    <w:p>
      <w:pPr>
        <w:pStyle w:val="Normal"/>
        <w:spacing w:before="0" w:after="0"/>
        <w:rPr>
          <w:sz w:val="8"/>
          <w:lang w:val="pt-BR"/>
        </w:rPr>
      </w:pPr>
      <w:r>
        <w:rPr>
          <w:sz w:val="8"/>
          <w:lang w:val="pt-BR"/>
        </w:rPr>
      </w:r>
    </w:p>
    <w:tbl>
      <w:tblPr>
        <w:tblStyle w:val="Tabelacomgrade"/>
        <w:tblW w:w="9638" w:type="dxa"/>
        <w:jc w:val="left"/>
        <w:tblInd w:w="0" w:type="dxa"/>
        <w:tblCellMar>
          <w:top w:w="0" w:type="dxa"/>
          <w:left w:w="11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18ª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>
                <w:lang w:val="pt-BR"/>
              </w:rPr>
            </w:pPr>
            <w:r>
              <w:rPr>
                <w:lang w:val="pt-BR"/>
              </w:rPr>
              <w:t>2ª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07/06/2022 - 13h30min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Camil Caram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4"/>
        </w:numPr>
        <w:rPr/>
      </w:pPr>
      <w:r>
        <w:rPr/>
        <w:t>Comunicada a aprovação da ata da reunião:</w:t>
      </w:r>
    </w:p>
    <w:tbl>
      <w:tblPr>
        <w:tblStyle w:val="TableGrid"/>
        <w:tblW w:w="9639" w:type="dxa"/>
        <w:jc w:val="left"/>
        <w:tblInd w:w="102" w:type="dxa"/>
        <w:tblBorders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17ª Ordinária.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4"/>
        </w:numPr>
        <w:rPr/>
      </w:pPr>
      <w:r>
        <w:rPr/>
        <w:t>Audiência Pública: Não Prevista</w:t>
      </w:r>
    </w:p>
    <w:p>
      <w:pPr>
        <w:pStyle w:val="NumeracaoNumerosRomanos"/>
        <w:numPr>
          <w:ilvl w:val="0"/>
          <w:numId w:val="4"/>
        </w:numPr>
        <w:rPr/>
      </w:pPr>
      <w:r>
        <w:rPr>
          <w:b/>
          <w:sz w:val="22"/>
        </w:rPr>
        <w:t>Discussão e votação</w:t>
      </w:r>
    </w:p>
    <w:p>
      <w:pPr>
        <w:pStyle w:val="ElementoTitulo"/>
        <w:spacing w:before="400" w:after="200"/>
        <w:rPr/>
      </w:pPr>
      <w:r>
        <w:rPr>
          <w:lang w:val="pt-BR"/>
        </w:rPr>
        <w:t>Parecer sobre proposições sujeitas à apreciação do Plenário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1063/2020</w:t>
      </w:r>
      <w:r>
        <w:rPr/>
        <w:t xml:space="preserve"> - SEGUNDO TURNO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EMENTA: </w:t>
      </w:r>
      <w:r>
        <w:rPr>
          <w:lang w:val="pt-BR"/>
        </w:rPr>
        <w:t>Revoga o § 5°, do art. 7º da Lei 8.616 de 14 de julho de 2003.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Léo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RELATOR(A): </w:t>
      </w:r>
      <w:r>
        <w:rPr>
          <w:lang w:val="pt-BR"/>
        </w:rPr>
        <w:t>Ver.(a) Fernanda Pereira Altoé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CONCLUSÃO DO PARECER: </w:t>
      </w:r>
      <w:r>
        <w:rPr>
          <w:lang w:val="pt-BR"/>
        </w:rPr>
        <w:t>Pela constitucionalidade, legalidade e regimentalidade da Emenda 3.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elacomgrade"/>
        <w:tblW w:w="9071" w:type="dxa"/>
        <w:jc w:val="left"/>
        <w:tblInd w:w="665" w:type="dxa"/>
        <w:tblCellMar>
          <w:top w:w="100" w:type="dxa"/>
          <w:left w:w="95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9071"/>
      </w:tblGrid>
      <w:tr>
        <w:trPr>
          <w:trHeight w:val="397" w:hRule="atLeast"/>
        </w:trPr>
        <w:tc>
          <w:tcPr>
            <w:tcW w:w="9071" w:type="dxa"/>
            <w:tcBorders/>
            <w:shd w:color="auto" w:fill="CCCCCC" w:val="clear"/>
            <w:tcMar>
              <w:left w:w="95" w:type="dxa"/>
            </w:tcMar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/>
      </w:pPr>
      <w:r>
        <w:rPr/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227/2021</w:t>
      </w:r>
      <w:r>
        <w:rPr/>
        <w:t xml:space="preserve"> - SEGUNDO TURNO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EMENTA: </w:t>
      </w:r>
      <w:r>
        <w:rPr>
          <w:lang w:val="pt-BR"/>
        </w:rPr>
        <w:t>Dispõe sobre a política de estímulo ao brincar na infância e institui a semana mundial do brincar de Belo Horizonte.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Duda Salabert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RELATOR(A): </w:t>
      </w:r>
      <w:r>
        <w:rPr>
          <w:lang w:val="pt-BR"/>
        </w:rPr>
        <w:t>Ver.(a) Jorge Santos</w:t>
      </w:r>
    </w:p>
    <w:p>
      <w:pPr>
        <w:pStyle w:val="NumeracaoProposicao"/>
        <w:rPr/>
      </w:pPr>
      <w:r>
        <w:rPr>
          <w:b/>
          <w:lang w:val="pt-BR"/>
        </w:rPr>
        <w:t xml:space="preserve">CONCLUSÃO DO PARECER: </w:t>
      </w:r>
      <w:r>
        <w:rPr>
          <w:lang w:val="pt-BR"/>
        </w:rPr>
        <w:t>Pela constitucionalidade, legalidade e regimentalidade da emenda 1 , com apresentação de subemenda e pela constitucionalidade, legalidade e regimentalidade da emenda 2.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elacomgrade"/>
        <w:tblW w:w="9071" w:type="dxa"/>
        <w:jc w:val="left"/>
        <w:tblInd w:w="665" w:type="dxa"/>
        <w:tblCellMar>
          <w:top w:w="100" w:type="dxa"/>
          <w:left w:w="95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9071"/>
      </w:tblGrid>
      <w:tr>
        <w:trPr>
          <w:trHeight w:val="397" w:hRule="atLeast"/>
        </w:trPr>
        <w:tc>
          <w:tcPr>
            <w:tcW w:w="9071" w:type="dxa"/>
            <w:tcBorders/>
            <w:shd w:color="auto" w:fill="CCCCCC" w:val="clear"/>
            <w:tcMar>
              <w:left w:w="95" w:type="dxa"/>
            </w:tcMar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umeracaoProposicaoTitulo"/>
        <w:numPr>
          <w:ilvl w:val="0"/>
          <w:numId w:val="0"/>
        </w:numPr>
        <w:ind w:left="426" w:hanging="426"/>
        <w:rPr>
          <w:u w:val="single"/>
          <w:lang w:val="pt-BR"/>
        </w:rPr>
      </w:pPr>
      <w:r>
        <w:rPr>
          <w:u w:val="single"/>
          <w:lang w:val="pt-BR"/>
        </w:rPr>
      </w:r>
    </w:p>
    <w:p>
      <w:pPr>
        <w:pStyle w:val="NumeracaoProposicaoTitulo"/>
        <w:numPr>
          <w:ilvl w:val="0"/>
          <w:numId w:val="0"/>
        </w:numPr>
        <w:ind w:left="426" w:hanging="426"/>
        <w:rPr>
          <w:u w:val="single"/>
          <w:lang w:val="pt-BR"/>
        </w:rPr>
      </w:pPr>
      <w:r>
        <w:rPr>
          <w:u w:val="single"/>
          <w:lang w:val="pt-BR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  <w:lang w:val="pt-BR"/>
        </w:rPr>
        <w:t>PROJETO DE LEI 312/2022</w:t>
      </w:r>
      <w:r>
        <w:rPr>
          <w:lang w:val="pt-BR"/>
        </w:rPr>
        <w:t xml:space="preserve"> - PRIMEIRO TURNO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EMENTA: </w:t>
      </w:r>
      <w:r>
        <w:rPr>
          <w:lang w:val="pt-BR"/>
        </w:rPr>
        <w:t>Regulamenta os procedimentos para análise de proposta de descentralização por cooperação ou de municipalização da gestão do ensino das escolas públicas da rede estadual de ensino de Minas Gerais.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Macaé Evaristo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RELATOR(A): </w:t>
      </w:r>
      <w:r>
        <w:rPr>
          <w:lang w:val="pt-BR"/>
        </w:rPr>
        <w:t>Ver.(a) Gabriel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CONCLUSÃO DO PARECER: </w:t>
      </w:r>
      <w:r>
        <w:rPr>
          <w:lang w:val="pt-BR"/>
        </w:rPr>
        <w:t>pela inconstitucionalidade, pela ilegalidade, pela regimentalidade</w:t>
      </w:r>
    </w:p>
    <w:p>
      <w:pPr>
        <w:pStyle w:val="NumeracaoProposicao"/>
        <w:rPr>
          <w:sz w:val="16"/>
          <w:szCs w:val="16"/>
          <w:lang w:val="pt-BR"/>
        </w:rPr>
      </w:pPr>
      <w:r>
        <w:rPr>
          <w:sz w:val="16"/>
          <w:szCs w:val="16"/>
          <w:lang w:val="pt-BR"/>
        </w:rPr>
      </w:r>
    </w:p>
    <w:tbl>
      <w:tblPr>
        <w:tblStyle w:val="Tabelacomgrade"/>
        <w:tblW w:w="9071" w:type="dxa"/>
        <w:jc w:val="left"/>
        <w:tblInd w:w="665" w:type="dxa"/>
        <w:tblCellMar>
          <w:top w:w="100" w:type="dxa"/>
          <w:left w:w="95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9071"/>
      </w:tblGrid>
      <w:tr>
        <w:trPr>
          <w:trHeight w:val="397" w:hRule="atLeast"/>
        </w:trPr>
        <w:tc>
          <w:tcPr>
            <w:tcW w:w="9071" w:type="dxa"/>
            <w:tcBorders/>
            <w:shd w:color="auto" w:fill="CCCCCC" w:val="clear"/>
            <w:tcMar>
              <w:left w:w="95" w:type="dxa"/>
            </w:tcMar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Parecer não apreciado em razão da suspensão do Projeto pelo Requerimento 83/2022</w:t>
            </w:r>
          </w:p>
        </w:tc>
      </w:tr>
    </w:tbl>
    <w:p>
      <w:pPr>
        <w:pStyle w:val="Normal"/>
        <w:spacing w:before="0" w:after="0"/>
        <w:rPr>
          <w:rFonts w:ascii="Arial" w:hAnsi="Arial"/>
          <w:sz w:val="10"/>
          <w:szCs w:val="10"/>
          <w:lang w:val="pt-BR"/>
        </w:rPr>
      </w:pPr>
      <w:r>
        <w:rPr>
          <w:sz w:val="10"/>
          <w:szCs w:val="10"/>
          <w:lang w:val="pt-BR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315/2022</w:t>
      </w:r>
      <w:r>
        <w:rPr/>
        <w:t xml:space="preserve"> - PRIMEIRO TURNO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EMENTA: </w:t>
      </w:r>
      <w:r>
        <w:rPr>
          <w:lang w:val="pt-BR"/>
        </w:rPr>
        <w:t>Dispõe sobre a publicidade no Portal de Transparência dos dados relativos ao transporte coletivo por ônibus no município de Belo Horizonte.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Macaé Evaristo; Pedro Patrus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RELATOR(A): </w:t>
      </w:r>
      <w:r>
        <w:rPr>
          <w:lang w:val="pt-BR"/>
        </w:rPr>
        <w:t>Ver.(a) Gabriel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CONCLUSÃO DO PARECER: </w:t>
      </w:r>
      <w:r>
        <w:rPr>
          <w:lang w:val="pt-BR"/>
        </w:rPr>
        <w:t>pela constitucionalidade, pela legalidade, pela regimentalidade, com apresentação de emenda(s)</w:t>
      </w:r>
    </w:p>
    <w:p>
      <w:pPr>
        <w:pStyle w:val="NumeracaoProposicao"/>
        <w:rPr>
          <w:rFonts w:ascii="Arial" w:hAnsi="Arial"/>
          <w:sz w:val="16"/>
          <w:szCs w:val="16"/>
          <w:lang w:val="pt-BR"/>
        </w:rPr>
      </w:pPr>
      <w:r>
        <w:rPr>
          <w:sz w:val="16"/>
          <w:szCs w:val="16"/>
          <w:lang w:val="pt-BR"/>
        </w:rPr>
      </w:r>
    </w:p>
    <w:tbl>
      <w:tblPr>
        <w:tblStyle w:val="Tabelacomgrade"/>
        <w:tblW w:w="9071" w:type="dxa"/>
        <w:jc w:val="left"/>
        <w:tblInd w:w="665" w:type="dxa"/>
        <w:tblCellMar>
          <w:top w:w="100" w:type="dxa"/>
          <w:left w:w="95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9071"/>
      </w:tblGrid>
      <w:tr>
        <w:trPr>
          <w:trHeight w:val="397" w:hRule="atLeast"/>
        </w:trPr>
        <w:tc>
          <w:tcPr>
            <w:tcW w:w="9071" w:type="dxa"/>
            <w:tcBorders/>
            <w:shd w:color="auto" w:fill="CCCCCC" w:val="clear"/>
            <w:tcMar>
              <w:left w:w="95" w:type="dxa"/>
            </w:tcMar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318/2022</w:t>
      </w:r>
      <w:r>
        <w:rPr/>
        <w:t xml:space="preserve"> - PRIMEIRO TURNO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EMENTA: </w:t>
      </w:r>
      <w:r>
        <w:rPr>
          <w:lang w:val="pt-BR"/>
        </w:rPr>
        <w:t>Altera a Lei nº 8.616, de 14 de julho de 2003, que contém o Código de Posturas do Município de Belo Horizonte.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Léo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RELATOR(A): </w:t>
      </w:r>
      <w:r>
        <w:rPr>
          <w:lang w:val="pt-BR"/>
        </w:rPr>
        <w:t>Ver.(a) Jorge Santos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CONCLUSÃO DO PARECER: </w:t>
      </w:r>
      <w:r>
        <w:rPr>
          <w:lang w:val="pt-BR"/>
        </w:rPr>
        <w:t>pela constitucionalidade, pela legalidade, pela regimentalidade</w:t>
      </w:r>
    </w:p>
    <w:p>
      <w:pPr>
        <w:pStyle w:val="NumeracaoProposicao"/>
        <w:rPr>
          <w:rFonts w:ascii="Arial" w:hAnsi="Arial"/>
          <w:sz w:val="16"/>
          <w:szCs w:val="16"/>
          <w:lang w:val="pt-BR"/>
        </w:rPr>
      </w:pPr>
      <w:r>
        <w:rPr>
          <w:sz w:val="16"/>
          <w:szCs w:val="16"/>
          <w:lang w:val="pt-BR"/>
        </w:rPr>
      </w:r>
    </w:p>
    <w:tbl>
      <w:tblPr>
        <w:tblStyle w:val="Tabelacomgrade"/>
        <w:tblW w:w="9071" w:type="dxa"/>
        <w:jc w:val="left"/>
        <w:tblInd w:w="665" w:type="dxa"/>
        <w:tblCellMar>
          <w:top w:w="100" w:type="dxa"/>
          <w:left w:w="95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9071"/>
      </w:tblGrid>
      <w:tr>
        <w:trPr>
          <w:trHeight w:val="397" w:hRule="atLeast"/>
        </w:trPr>
        <w:tc>
          <w:tcPr>
            <w:tcW w:w="9071" w:type="dxa"/>
            <w:tcBorders/>
            <w:shd w:color="auto" w:fill="CCCCCC" w:val="clear"/>
            <w:tcMar>
              <w:left w:w="95" w:type="dxa"/>
            </w:tcMar>
          </w:tcPr>
          <w:p>
            <w:pPr>
              <w:pStyle w:val="TextoTabelaOcorrencias"/>
              <w:spacing w:lineRule="auto" w:line="240" w:before="0" w:after="0"/>
              <w:rPr/>
            </w:pPr>
            <w:bookmarkStart w:id="0" w:name="_GoBack"/>
            <w:bookmarkEnd w:id="0"/>
            <w:r>
              <w:rPr/>
              <w:t>Adiada a apreciação</w:t>
            </w:r>
          </w:p>
        </w:tc>
      </w:tr>
    </w:tbl>
    <w:p>
      <w:pPr>
        <w:pStyle w:val="Normal"/>
        <w:spacing w:before="0" w:after="0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328/2022</w:t>
      </w:r>
      <w:r>
        <w:rPr/>
        <w:t xml:space="preserve"> - SEGUNDO TURNO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EMENTA: </w:t>
      </w:r>
      <w:r>
        <w:rPr>
          <w:lang w:val="pt-BR"/>
        </w:rPr>
        <w:t>Dispõe sobre a implantação e o compartilhamento de infraestrutura de telecomunicações e dá outras providências.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Gabriel; Irlan Melo; Jorge Santos; Léo; Marcos Crispim; Marilda Portela; Nely Aquino; Professor Juliano Lopes; Wanderley Porto; Wilsinho da Tabu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RELATOR(A): </w:t>
      </w:r>
      <w:r>
        <w:rPr>
          <w:lang w:val="pt-BR"/>
        </w:rPr>
        <w:t>Ver.(a) Fernanda Pereira Altoé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CONCLUSÃO DO PARECER: </w:t>
      </w:r>
      <w:r>
        <w:rPr>
          <w:lang w:val="pt-BR"/>
        </w:rPr>
        <w:t>Pela constitucionalidade, legalidade e regimentalidade das emendas 1, 2, 3, 7, 8, 9, 10, 11, 12, 13, 14, 15 e 16; pela inconstitucionalidade, ilegalidade e regimentalidade das emendas 4, 5 e 6; pela constitucionalidade, legalidade e regimentalidade das subemendas 2, 4, 6, 7, 8, 9, 10, 11, 12 e 13 à emenda 1; e pela inconstitucionalidade, ilegalidade e regimentalidade das subemendas 1, 3, e 5 à emenda 1.</w:t>
      </w:r>
    </w:p>
    <w:p>
      <w:pPr>
        <w:pStyle w:val="NumeracaoProposicao"/>
        <w:rPr>
          <w:rFonts w:ascii="Arial" w:hAnsi="Arial"/>
          <w:sz w:val="16"/>
          <w:szCs w:val="16"/>
          <w:lang w:val="pt-BR"/>
        </w:rPr>
      </w:pPr>
      <w:r>
        <w:rPr>
          <w:sz w:val="16"/>
          <w:szCs w:val="16"/>
          <w:lang w:val="pt-BR"/>
        </w:rPr>
      </w:r>
    </w:p>
    <w:tbl>
      <w:tblPr>
        <w:tblStyle w:val="Tabelacomgrade"/>
        <w:tblW w:w="9071" w:type="dxa"/>
        <w:jc w:val="left"/>
        <w:tblInd w:w="665" w:type="dxa"/>
        <w:tblCellMar>
          <w:top w:w="100" w:type="dxa"/>
          <w:left w:w="95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9071"/>
      </w:tblGrid>
      <w:tr>
        <w:trPr>
          <w:trHeight w:val="397" w:hRule="atLeast"/>
        </w:trPr>
        <w:tc>
          <w:tcPr>
            <w:tcW w:w="9071" w:type="dxa"/>
            <w:tcBorders/>
            <w:shd w:color="auto" w:fill="CCCCCC" w:val="clear"/>
            <w:tcMar>
              <w:left w:w="95" w:type="dxa"/>
            </w:tcMar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/>
      </w:pPr>
      <w:r>
        <w:rPr/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332/2022</w:t>
      </w:r>
      <w:r>
        <w:rPr/>
        <w:t xml:space="preserve"> - PRIMEIRO TURNO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EMENTA: </w:t>
      </w:r>
      <w:r>
        <w:rPr>
          <w:lang w:val="pt-BR"/>
        </w:rPr>
        <w:t>Dispõe sobre medidas a serem adotadas pelo Poder Executivo no enfrentamento ao caos do transporte público coletivo na capital.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Gabriel; Marcos Crispim; Reinaldo Gomes Preto Sacolão; Wanderley Porto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RELATOR(A): </w:t>
      </w:r>
      <w:r>
        <w:rPr>
          <w:lang w:val="pt-BR"/>
        </w:rPr>
        <w:t>Ver.(a) Fernanda Pereira Altoé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PROPOSTA DE DILIGÊNCIA: </w:t>
      </w:r>
      <w:r>
        <w:rPr>
          <w:lang w:val="pt-BR"/>
        </w:rPr>
        <w:t>pedido de informação por escrito</w:t>
      </w:r>
    </w:p>
    <w:p>
      <w:pPr>
        <w:pStyle w:val="NumeracaoProposicao"/>
        <w:rPr>
          <w:sz w:val="10"/>
          <w:szCs w:val="10"/>
          <w:lang w:val="pt-BR"/>
        </w:rPr>
      </w:pPr>
      <w:r>
        <w:rPr>
          <w:sz w:val="10"/>
          <w:szCs w:val="10"/>
          <w:lang w:val="pt-BR"/>
        </w:rPr>
      </w:r>
    </w:p>
    <w:tbl>
      <w:tblPr>
        <w:tblStyle w:val="Tabelacomgrade"/>
        <w:tblW w:w="9071" w:type="dxa"/>
        <w:jc w:val="left"/>
        <w:tblInd w:w="665" w:type="dxa"/>
        <w:tblCellMar>
          <w:top w:w="100" w:type="dxa"/>
          <w:left w:w="95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9071"/>
      </w:tblGrid>
      <w:tr>
        <w:trPr>
          <w:trHeight w:val="397" w:hRule="atLeast"/>
        </w:trPr>
        <w:tc>
          <w:tcPr>
            <w:tcW w:w="9071" w:type="dxa"/>
            <w:tcBorders/>
            <w:shd w:color="auto" w:fill="CCCCCC" w:val="clear"/>
            <w:tcMar>
              <w:left w:w="95" w:type="dxa"/>
            </w:tcMar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Aprovada a diligência</w:t>
            </w:r>
          </w:p>
        </w:tc>
      </w:tr>
    </w:tbl>
    <w:p>
      <w:pPr>
        <w:pStyle w:val="Normal"/>
        <w:spacing w:before="0" w:after="0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333/2022</w:t>
      </w:r>
      <w:r>
        <w:rPr/>
        <w:t xml:space="preserve"> - PRIMEIRO TURNO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EMENTA: </w:t>
      </w:r>
      <w:r>
        <w:rPr>
          <w:lang w:val="pt-BR"/>
        </w:rPr>
        <w:t>Dispõe sobre a inclusão da educação alimentar como temas a serem abordados no contraturno das escolas municipais de educação integral.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Wanderley Porto; Dr. Célio Frois; Gabriel; Henrique Braga; Jorge Santos; Juninho Los Hermanos; Marilda Portela; Professor Juliano Lopes; Reinaldo Gomes Preto Sacolão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RELATOR(A): </w:t>
      </w:r>
      <w:r>
        <w:rPr>
          <w:lang w:val="pt-BR"/>
        </w:rPr>
        <w:t>Ver.(a) Fernanda Pereira Altoé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CONCLUSÃO DO PARECER: </w:t>
      </w:r>
      <w:r>
        <w:rPr>
          <w:lang w:val="pt-BR"/>
        </w:rPr>
        <w:t>pela inconstitucionalidade, pela ilegalidade, pela regimentalidade</w:t>
      </w:r>
    </w:p>
    <w:p>
      <w:pPr>
        <w:pStyle w:val="NumeracaoProposicao"/>
        <w:rPr>
          <w:sz w:val="10"/>
          <w:szCs w:val="10"/>
          <w:lang w:val="pt-BR"/>
        </w:rPr>
      </w:pPr>
      <w:r>
        <w:rPr>
          <w:sz w:val="10"/>
          <w:szCs w:val="10"/>
          <w:lang w:val="pt-BR"/>
        </w:rPr>
      </w:r>
    </w:p>
    <w:tbl>
      <w:tblPr>
        <w:tblStyle w:val="Tabelacomgrade"/>
        <w:tblW w:w="9071" w:type="dxa"/>
        <w:jc w:val="left"/>
        <w:tblInd w:w="665" w:type="dxa"/>
        <w:tblCellMar>
          <w:top w:w="100" w:type="dxa"/>
          <w:left w:w="95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9071"/>
      </w:tblGrid>
      <w:tr>
        <w:trPr>
          <w:trHeight w:val="397" w:hRule="atLeast"/>
        </w:trPr>
        <w:tc>
          <w:tcPr>
            <w:tcW w:w="9071" w:type="dxa"/>
            <w:tcBorders/>
            <w:shd w:color="auto" w:fill="CCCCCC" w:val="clear"/>
            <w:tcMar>
              <w:left w:w="95" w:type="dxa"/>
            </w:tcMar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ElementoTitulo"/>
        <w:spacing w:lineRule="auto" w:line="240" w:before="400" w:after="200"/>
        <w:rPr>
          <w:lang w:val="pt-BR"/>
        </w:rPr>
      </w:pPr>
      <w:r>
        <w:rPr>
          <w:lang w:val="pt-BR"/>
        </w:rPr>
        <w:t>Parecer sobre proposições que dispensam a apreciação do Plenário</w:t>
      </w:r>
    </w:p>
    <w:p>
      <w:pPr>
        <w:pStyle w:val="NumeracaoProposicaoTitulo"/>
        <w:numPr>
          <w:ilvl w:val="0"/>
          <w:numId w:val="3"/>
        </w:numPr>
        <w:spacing w:lineRule="auto" w:line="240"/>
        <w:rPr/>
      </w:pPr>
      <w:r>
        <w:rPr>
          <w:u w:val="single"/>
        </w:rPr>
        <w:t>PROJETO DE LEI 291/2022</w:t>
      </w:r>
      <w:r>
        <w:rPr/>
        <w:t xml:space="preserve"> - TURNO ÚNICO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EMENTA: </w:t>
      </w:r>
      <w:r>
        <w:rPr>
          <w:lang w:val="pt-BR"/>
        </w:rPr>
        <w:t>Dá o nome de Praça Maria do Carmo da Silva Tomé à Praça L Oito, no bairro Vale do Jatobá.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Professor Juliano Lopes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RELATOR(A): </w:t>
      </w:r>
      <w:r>
        <w:rPr>
          <w:lang w:val="pt-BR"/>
        </w:rPr>
        <w:t>Ver.(a) Jorge Santos</w:t>
      </w:r>
    </w:p>
    <w:p>
      <w:pPr>
        <w:pStyle w:val="NumeracaoProposicao"/>
        <w:rPr/>
      </w:pPr>
      <w:r>
        <w:rPr>
          <w:b/>
          <w:lang w:val="pt-BR"/>
        </w:rPr>
        <w:t xml:space="preserve">CONCLUSÃO DO PARECER: </w:t>
      </w:r>
      <w:r>
        <w:rPr>
          <w:lang w:val="pt-BR"/>
        </w:rPr>
        <w:t>pela juridicidade, pela aprovação, com apresentação de emenda(s)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elacomgrade"/>
        <w:tblW w:w="9071" w:type="dxa"/>
        <w:jc w:val="left"/>
        <w:tblInd w:w="665" w:type="dxa"/>
        <w:tblCellMar>
          <w:top w:w="100" w:type="dxa"/>
          <w:left w:w="95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9071"/>
      </w:tblGrid>
      <w:tr>
        <w:trPr>
          <w:trHeight w:val="397" w:hRule="atLeast"/>
        </w:trPr>
        <w:tc>
          <w:tcPr>
            <w:tcW w:w="9071" w:type="dxa"/>
            <w:tcBorders/>
            <w:shd w:color="auto" w:fill="CCCCCC" w:val="clear"/>
            <w:tcMar>
              <w:left w:w="95" w:type="dxa"/>
            </w:tcMar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umeracaoProposicaoTitulo"/>
        <w:numPr>
          <w:ilvl w:val="0"/>
          <w:numId w:val="3"/>
        </w:numPr>
        <w:rPr>
          <w:lang w:val="pt-BR"/>
        </w:rPr>
      </w:pPr>
      <w:r>
        <w:rPr>
          <w:u w:val="single"/>
          <w:lang w:val="pt-BR"/>
        </w:rPr>
        <w:t>PROJETO DE LEI 305/2022</w:t>
      </w:r>
      <w:r>
        <w:rPr>
          <w:lang w:val="pt-BR"/>
        </w:rPr>
        <w:t xml:space="preserve"> - TURNO ÚNICO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EMENTA: </w:t>
      </w:r>
      <w:r>
        <w:rPr>
          <w:lang w:val="pt-BR"/>
        </w:rPr>
        <w:t>Institui a Semana de Integração e Relacionamento com outros Países.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Irlan Melo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RELATOR(A): </w:t>
      </w:r>
      <w:r>
        <w:rPr>
          <w:lang w:val="pt-BR"/>
        </w:rPr>
        <w:t>Ver.(a) Reinaldo Gomes Preto Sacolão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CONCLUSÃO DO PARECER: </w:t>
      </w:r>
      <w:r>
        <w:rPr>
          <w:lang w:val="pt-BR"/>
        </w:rPr>
        <w:t>pela constitucionalidade, pela legalidade, pela regimentalidade, pela aprovação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elacomgrade"/>
        <w:tblW w:w="9071" w:type="dxa"/>
        <w:jc w:val="left"/>
        <w:tblInd w:w="665" w:type="dxa"/>
        <w:tblCellMar>
          <w:top w:w="100" w:type="dxa"/>
          <w:left w:w="95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9071"/>
      </w:tblGrid>
      <w:tr>
        <w:trPr>
          <w:trHeight w:val="397" w:hRule="atLeast"/>
        </w:trPr>
        <w:tc>
          <w:tcPr>
            <w:tcW w:w="9071" w:type="dxa"/>
            <w:tcBorders/>
            <w:shd w:color="auto" w:fill="CCCCCC" w:val="clear"/>
            <w:tcMar>
              <w:left w:w="95" w:type="dxa"/>
            </w:tcMar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umeracaoProposicao"/>
        <w:rPr>
          <w:sz w:val="10"/>
          <w:szCs w:val="10"/>
          <w:lang w:val="pt-BR"/>
        </w:rPr>
      </w:pPr>
      <w:r>
        <w:rPr>
          <w:sz w:val="10"/>
          <w:szCs w:val="10"/>
          <w:lang w:val="pt-BR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311/2022</w:t>
      </w:r>
      <w:r>
        <w:rPr/>
        <w:t xml:space="preserve"> - TURNO ÚNICO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EMENTA: </w:t>
      </w:r>
      <w:r>
        <w:rPr>
          <w:lang w:val="pt-BR"/>
        </w:rPr>
        <w:t>Dá o nome de Yolanda Campos Marques à Via de Pedestre que dá acesso as Ruas General Astolfo Ferreira Mendes e Maria Toledo Paiva, no bairro São Gabriel.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Reinaldo Gomes Preto Sacolão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RELATOR(A): </w:t>
      </w:r>
      <w:r>
        <w:rPr>
          <w:lang w:val="pt-BR"/>
        </w:rPr>
        <w:t>Ver.(a) Irlan Melo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CONCLUSÃO DO PARECER: </w:t>
      </w:r>
      <w:r>
        <w:rPr>
          <w:lang w:val="pt-BR"/>
        </w:rPr>
        <w:t>pela constitucionalidade, pela legalidade, pela regimentalidade, pela aprovação</w:t>
      </w:r>
    </w:p>
    <w:p>
      <w:pPr>
        <w:pStyle w:val="NumeracaoProposicao"/>
        <w:rPr>
          <w:sz w:val="10"/>
          <w:szCs w:val="10"/>
          <w:lang w:val="pt-BR"/>
        </w:rPr>
      </w:pPr>
      <w:r>
        <w:rPr>
          <w:sz w:val="10"/>
          <w:szCs w:val="10"/>
          <w:lang w:val="pt-BR"/>
        </w:rPr>
      </w:r>
    </w:p>
    <w:tbl>
      <w:tblPr>
        <w:tblStyle w:val="Tabelacomgrade"/>
        <w:tblW w:w="9071" w:type="dxa"/>
        <w:jc w:val="left"/>
        <w:tblInd w:w="665" w:type="dxa"/>
        <w:tblCellMar>
          <w:top w:w="100" w:type="dxa"/>
          <w:left w:w="95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9071"/>
      </w:tblGrid>
      <w:tr>
        <w:trPr>
          <w:trHeight w:val="397" w:hRule="atLeast"/>
        </w:trPr>
        <w:tc>
          <w:tcPr>
            <w:tcW w:w="9071" w:type="dxa"/>
            <w:tcBorders/>
            <w:shd w:color="auto" w:fill="CCCCCC" w:val="clear"/>
            <w:tcMar>
              <w:left w:w="95" w:type="dxa"/>
            </w:tcMar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umeracaoProposicao"/>
        <w:rPr>
          <w:sz w:val="10"/>
          <w:szCs w:val="10"/>
          <w:lang w:val="pt-BR"/>
        </w:rPr>
      </w:pPr>
      <w:r>
        <w:rPr>
          <w:sz w:val="10"/>
          <w:szCs w:val="10"/>
          <w:lang w:val="pt-BR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317/2022</w:t>
      </w:r>
      <w:r>
        <w:rPr/>
        <w:t xml:space="preserve"> - TURNO ÚNICO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EMENTA: </w:t>
      </w:r>
      <w:r>
        <w:rPr>
          <w:lang w:val="pt-BR"/>
        </w:rPr>
        <w:t>Dá o nome de Helena Maria Bhering da Silva à Via de Pedestre que dá acesso as Ruas Maria Toledo Paiva e Av. Da Rede, no bairro São Gabriel.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Reinaldo Gomes Preto Sacolão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RELATOR(A): </w:t>
      </w:r>
      <w:r>
        <w:rPr>
          <w:lang w:val="pt-BR"/>
        </w:rPr>
        <w:t>Ver.(a) Irlan Melo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CONCLUSÃO DO PARECER: </w:t>
      </w:r>
      <w:r>
        <w:rPr>
          <w:lang w:val="pt-BR"/>
        </w:rPr>
        <w:t>pela constitucionalidade, pela legalidade, pela regimentalidade, pela aprovação, com apresentação de emenda(s)</w:t>
      </w:r>
    </w:p>
    <w:p>
      <w:pPr>
        <w:pStyle w:val="NumeracaoProposicao"/>
        <w:rPr>
          <w:sz w:val="10"/>
          <w:szCs w:val="10"/>
          <w:lang w:val="pt-BR"/>
        </w:rPr>
      </w:pPr>
      <w:r>
        <w:rPr>
          <w:sz w:val="10"/>
          <w:szCs w:val="10"/>
          <w:lang w:val="pt-BR"/>
        </w:rPr>
      </w:r>
    </w:p>
    <w:tbl>
      <w:tblPr>
        <w:tblStyle w:val="Tabelacomgrade"/>
        <w:tblW w:w="9071" w:type="dxa"/>
        <w:jc w:val="left"/>
        <w:tblInd w:w="665" w:type="dxa"/>
        <w:tblCellMar>
          <w:top w:w="100" w:type="dxa"/>
          <w:left w:w="95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9071"/>
      </w:tblGrid>
      <w:tr>
        <w:trPr>
          <w:trHeight w:val="397" w:hRule="atLeast"/>
        </w:trPr>
        <w:tc>
          <w:tcPr>
            <w:tcW w:w="9071" w:type="dxa"/>
            <w:tcBorders/>
            <w:shd w:color="auto" w:fill="CCCCCC" w:val="clear"/>
            <w:tcMar>
              <w:left w:w="95" w:type="dxa"/>
            </w:tcMar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/>
      </w:pPr>
      <w:r>
        <w:rPr/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324/2022</w:t>
      </w:r>
      <w:r>
        <w:rPr/>
        <w:t xml:space="preserve"> - TURNO ÚNICO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EMENTA: </w:t>
      </w:r>
      <w:r>
        <w:rPr>
          <w:lang w:val="pt-BR"/>
        </w:rPr>
        <w:t>Dá nova denominação ao Parque das Mangabeiras, localizado no bairro Mangabeiras.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Ciro Pereira; Cláudio do Mundo Novo; Dr. Célio Frois; Gabriel; Gilson Guimarães; Irlan Melo; Nely Aquino; Nikolas Ferreira; Professor Claudiney Dulim; Professor Juliano Lopes; Professora Marli; Walter Tosta; Wanderley Porto; Wilsinho da Tabu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RELATOR(A): </w:t>
      </w:r>
      <w:r>
        <w:rPr>
          <w:lang w:val="pt-BR"/>
        </w:rPr>
        <w:t>Ver.(a) Jorge Santos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CONCLUSÃO DO PARECER: </w:t>
      </w:r>
      <w:r>
        <w:rPr>
          <w:lang w:val="pt-BR"/>
        </w:rPr>
        <w:t>pela juridicidade, pela aprovação</w:t>
      </w:r>
    </w:p>
    <w:tbl>
      <w:tblPr>
        <w:tblStyle w:val="Tabelacomgrade"/>
        <w:tblW w:w="9071" w:type="dxa"/>
        <w:jc w:val="left"/>
        <w:tblInd w:w="665" w:type="dxa"/>
        <w:tblCellMar>
          <w:top w:w="100" w:type="dxa"/>
          <w:left w:w="95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9071"/>
      </w:tblGrid>
      <w:tr>
        <w:trPr>
          <w:trHeight w:val="397" w:hRule="atLeast"/>
        </w:trPr>
        <w:tc>
          <w:tcPr>
            <w:tcW w:w="9071" w:type="dxa"/>
            <w:tcBorders/>
            <w:shd w:color="auto" w:fill="CCCCCC" w:val="clear"/>
            <w:tcMar>
              <w:left w:w="95" w:type="dxa"/>
            </w:tcMar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umeracaoProposicao"/>
        <w:rPr>
          <w:lang w:val="pt-BR"/>
        </w:rPr>
      </w:pPr>
      <w:r>
        <w:rPr>
          <w:lang w:val="pt-BR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Cambria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instrText> PAGE </w:instrText>
    </w:r>
    <w:r>
      <w:fldChar w:fldCharType="separate"/>
    </w:r>
    <w:r>
      <w:t>4</w:t>
    </w:r>
    <w:r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elacomgrade"/>
      <w:tblW w:w="9742" w:type="dxa"/>
      <w:jc w:val="left"/>
      <w:tblInd w:w="0" w:type="dxa"/>
      <w:tblCellMar>
        <w:top w:w="0" w:type="dxa"/>
        <w:left w:w="113" w:type="dxa"/>
        <w:bottom w:w="170" w:type="dxa"/>
        <w:right w:w="108" w:type="dxa"/>
      </w:tblCellMar>
      <w:tblLook w:firstRow="1" w:noVBand="1" w:lastRow="0" w:firstColumn="1" w:lastColumn="0" w:noHBand="0" w:val="04a0"/>
    </w:tblPr>
    <w:tblGrid>
      <w:gridCol w:w="1237"/>
      <w:gridCol w:w="8504"/>
    </w:tblGrid>
    <w:tr>
      <w:trPr/>
      <w:tc>
        <w:tcPr>
          <w:tcW w:w="1237" w:type="dxa"/>
          <w:tcBorders>
            <w:top w:val="nil"/>
            <w:left w:val="nil"/>
            <w:bottom w:val="nil"/>
            <w:right w:val="nil"/>
            <w:insideH w:val="nil"/>
            <w:insideV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4" w:type="dxa"/>
          <w:tcBorders>
            <w:top w:val="nil"/>
            <w:left w:val="nil"/>
            <w:bottom w:val="nil"/>
            <w:right w:val="nil"/>
            <w:insideH w:val="nil"/>
            <w:insideV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  <w:lang w:val="pt-BR"/>
            </w:rPr>
          </w:pPr>
          <w:r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720" w:hanging="360"/>
      </w:pPr>
    </w:lvl>
    <w:lvl w:ilvl="1">
      <w:start w:val="1"/>
      <w:numFmt w:val="none"/>
      <w:suff w:val="nothing"/>
      <w:lvlText w:val=""/>
      <w:lvlJc w:val="left"/>
      <w:pPr>
        <w:ind w:left="1080" w:hanging="360"/>
      </w:pPr>
    </w:lvl>
    <w:lvl w:ilvl="2">
      <w:start w:val="1"/>
      <w:numFmt w:val="none"/>
      <w:suff w:val="nothing"/>
      <w:lvlText w:val=""/>
      <w:lvlJc w:val="left"/>
      <w:pPr>
        <w:ind w:left="1440" w:hanging="360"/>
      </w:pPr>
    </w:lvl>
    <w:lvl w:ilvl="3">
      <w:start w:val="1"/>
      <w:numFmt w:val="none"/>
      <w:suff w:val="nothing"/>
      <w:lvlText w:val=""/>
      <w:lvlJc w:val="left"/>
      <w:pPr>
        <w:ind w:left="1800" w:hanging="360"/>
      </w:pPr>
    </w:lvl>
    <w:lvl w:ilvl="4">
      <w:start w:val="1"/>
      <w:numFmt w:val="none"/>
      <w:suff w:val="nothing"/>
      <w:lvlText w:val=""/>
      <w:lvlJc w:val="left"/>
      <w:pPr>
        <w:ind w:left="2160" w:hanging="360"/>
      </w:pPr>
    </w:lvl>
    <w:lvl w:ilvl="5">
      <w:start w:val="1"/>
      <w:numFmt w:val="none"/>
      <w:suff w:val="nothing"/>
      <w:lvlText w:val=""/>
      <w:lvlJc w:val="left"/>
      <w:pPr>
        <w:ind w:left="2520" w:hanging="360"/>
      </w:pPr>
    </w:lvl>
    <w:lvl w:ilvl="6">
      <w:start w:val="1"/>
      <w:numFmt w:val="none"/>
      <w:suff w:val="nothing"/>
      <w:lvlText w:val=""/>
      <w:lvlJc w:val="left"/>
      <w:pPr>
        <w:ind w:left="2880" w:hanging="360"/>
      </w:pPr>
    </w:lvl>
    <w:lvl w:ilvl="7">
      <w:start w:val="1"/>
      <w:numFmt w:val="none"/>
      <w:suff w:val="nothing"/>
      <w:lvlText w:val=""/>
      <w:lvlJc w:val="left"/>
      <w:pPr>
        <w:ind w:left="3240" w:hanging="360"/>
      </w:pPr>
    </w:lvl>
    <w:lvl w:ilvl="8">
      <w:start w:val="1"/>
      <w:numFmt w:val="none"/>
      <w:suff w:val="nothing"/>
      <w:lvlText w:val=""/>
      <w:lvlJc w:val="left"/>
      <w:pPr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none"/>
      <w:suff w:val="nothing"/>
      <w:lvlText w:val=""/>
      <w:lvlJc w:val="left"/>
      <w:pPr>
        <w:ind w:left="1080" w:hanging="360"/>
      </w:pPr>
    </w:lvl>
    <w:lvl w:ilvl="2">
      <w:start w:val="1"/>
      <w:numFmt w:val="none"/>
      <w:suff w:val="nothing"/>
      <w:lvlText w:val=""/>
      <w:lvlJc w:val="left"/>
      <w:pPr>
        <w:ind w:left="1440" w:hanging="360"/>
      </w:pPr>
    </w:lvl>
    <w:lvl w:ilvl="3">
      <w:start w:val="1"/>
      <w:numFmt w:val="none"/>
      <w:suff w:val="nothing"/>
      <w:lvlText w:val=""/>
      <w:lvlJc w:val="left"/>
      <w:pPr>
        <w:ind w:left="1800" w:hanging="360"/>
      </w:pPr>
    </w:lvl>
    <w:lvl w:ilvl="4">
      <w:start w:val="1"/>
      <w:numFmt w:val="none"/>
      <w:suff w:val="nothing"/>
      <w:lvlText w:val=""/>
      <w:lvlJc w:val="left"/>
      <w:pPr>
        <w:ind w:left="2160" w:hanging="360"/>
      </w:pPr>
    </w:lvl>
    <w:lvl w:ilvl="5">
      <w:start w:val="1"/>
      <w:numFmt w:val="none"/>
      <w:suff w:val="nothing"/>
      <w:lvlText w:val=""/>
      <w:lvlJc w:val="left"/>
      <w:pPr>
        <w:ind w:left="2520" w:hanging="360"/>
      </w:pPr>
    </w:lvl>
    <w:lvl w:ilvl="6">
      <w:start w:val="1"/>
      <w:numFmt w:val="none"/>
      <w:suff w:val="nothing"/>
      <w:lvlText w:val=""/>
      <w:lvlJc w:val="left"/>
      <w:pPr>
        <w:ind w:left="2880" w:hanging="360"/>
      </w:pPr>
    </w:lvl>
    <w:lvl w:ilvl="7">
      <w:start w:val="1"/>
      <w:numFmt w:val="none"/>
      <w:suff w:val="nothing"/>
      <w:lvlText w:val=""/>
      <w:lvlJc w:val="left"/>
      <w:pPr>
        <w:ind w:left="3240" w:hanging="360"/>
      </w:pPr>
    </w:lvl>
    <w:lvl w:ilvl="8">
      <w:start w:val="1"/>
      <w:numFmt w:val="none"/>
      <w:suff w:val="nothing"/>
      <w:lvlText w:val=""/>
      <w:lvlJc w:val="left"/>
      <w:pPr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none"/>
      <w:suff w:val="nothing"/>
      <w:lvlText w:val=""/>
      <w:lvlJc w:val="left"/>
      <w:pPr>
        <w:ind w:left="1080" w:hanging="360"/>
      </w:pPr>
    </w:lvl>
    <w:lvl w:ilvl="2">
      <w:start w:val="1"/>
      <w:numFmt w:val="none"/>
      <w:suff w:val="nothing"/>
      <w:lvlText w:val=""/>
      <w:lvlJc w:val="left"/>
      <w:pPr>
        <w:ind w:left="1440" w:hanging="360"/>
      </w:pPr>
    </w:lvl>
    <w:lvl w:ilvl="3">
      <w:start w:val="1"/>
      <w:numFmt w:val="none"/>
      <w:suff w:val="nothing"/>
      <w:lvlText w:val=""/>
      <w:lvlJc w:val="left"/>
      <w:pPr>
        <w:ind w:left="1800" w:hanging="360"/>
      </w:pPr>
    </w:lvl>
    <w:lvl w:ilvl="4">
      <w:start w:val="1"/>
      <w:numFmt w:val="none"/>
      <w:suff w:val="nothing"/>
      <w:lvlText w:val=""/>
      <w:lvlJc w:val="left"/>
      <w:pPr>
        <w:ind w:left="2160" w:hanging="360"/>
      </w:pPr>
    </w:lvl>
    <w:lvl w:ilvl="5">
      <w:start w:val="1"/>
      <w:numFmt w:val="none"/>
      <w:suff w:val="nothing"/>
      <w:lvlText w:val=""/>
      <w:lvlJc w:val="left"/>
      <w:pPr>
        <w:ind w:left="2520" w:hanging="360"/>
      </w:pPr>
    </w:lvl>
    <w:lvl w:ilvl="6">
      <w:start w:val="1"/>
      <w:numFmt w:val="none"/>
      <w:suff w:val="nothing"/>
      <w:lvlText w:val=""/>
      <w:lvlJc w:val="left"/>
      <w:pPr>
        <w:ind w:left="2880" w:hanging="360"/>
      </w:pPr>
    </w:lvl>
    <w:lvl w:ilvl="7">
      <w:start w:val="1"/>
      <w:numFmt w:val="none"/>
      <w:suff w:val="nothing"/>
      <w:lvlText w:val=""/>
      <w:lvlJc w:val="left"/>
      <w:pPr>
        <w:ind w:left="3240" w:hanging="360"/>
      </w:pPr>
    </w:lvl>
    <w:lvl w:ilvl="8">
      <w:start w:val="1"/>
      <w:numFmt w:val="none"/>
      <w:suff w:val="nothing"/>
      <w:lvlText w:val=""/>
      <w:lvlJc w:val="left"/>
      <w:pPr>
        <w:ind w:left="3600" w:hanging="360"/>
      </w:pPr>
    </w:lvl>
  </w:abstractNum>
  <w:abstractNum w:abstractNumId="4">
    <w:lvl w:ilvl="0">
      <w:start w:val="1"/>
      <w:numFmt w:val="upperRoman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Emphasis" w:uiPriority="20" w:semiHidden="0" w:unhideWhenUsed="0" w:qFormat="1"/>
    <w:lsdException w:name="Table Grid" w:uiPriority="59" w:semiHidden="0" w:unhideWhenUsed="0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Calibri" w:cs="" w:cstheme="minorBidi" w:eastAsiaTheme="minorHAnsi"/>
      <w:color w:val="00000A"/>
      <w:sz w:val="24"/>
      <w:szCs w:val="22"/>
      <w:lang w:val="en-US" w:eastAsia="en-US" w:bidi="ar-SA"/>
    </w:rPr>
  </w:style>
  <w:style w:type="paragraph" w:styleId="Ttulo1">
    <w:name w:val="Título 1"/>
    <w:basedOn w:val="Normal"/>
    <w:next w:val="Normal"/>
    <w:link w:val="Ttulo1Char"/>
    <w:uiPriority w:val="9"/>
    <w:qFormat/>
    <w:rsid w:val="00841cd9"/>
    <w:pPr>
      <w:keepNext/>
      <w:keepLines/>
      <w:spacing w:before="480" w:after="200"/>
      <w:outlineLvl w:val="0"/>
    </w:pPr>
    <w:rPr>
      <w:rFonts w:ascii="Cambria" w:hAnsi="Cambria"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Título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 w:after="200"/>
      <w:outlineLvl w:val="1"/>
    </w:pPr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Título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 w:after="200"/>
      <w:outlineLvl w:val="2"/>
    </w:pPr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Título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 w:after="200"/>
      <w:outlineLvl w:val="3"/>
    </w:pPr>
    <w:rPr>
      <w:rFonts w:ascii="Cambria" w:hAnsi="Cambria"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link w:val="Cabealho"/>
    <w:uiPriority w:val="99"/>
    <w:qFormat/>
    <w:rsid w:val="00841cd9"/>
    <w:rPr/>
  </w:style>
  <w:style w:type="character" w:styleId="Ttulo1Char" w:customStyle="1">
    <w:name w:val="Título 1 Char"/>
    <w:basedOn w:val="DefaultParagraphFont"/>
    <w:link w:val="Ttulo1"/>
    <w:uiPriority w:val="9"/>
    <w:qFormat/>
    <w:rsid w:val="00841cd9"/>
    <w:rPr>
      <w:rFonts w:ascii="Cambria" w:hAnsi="Cambria"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Ttulo2Char" w:customStyle="1">
    <w:name w:val="Título 2 Char"/>
    <w:basedOn w:val="DefaultParagraphFont"/>
    <w:link w:val="Ttulo2"/>
    <w:uiPriority w:val="9"/>
    <w:qFormat/>
    <w:rsid w:val="00841cd9"/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Ttulo3Char" w:customStyle="1">
    <w:name w:val="Título 3 Char"/>
    <w:basedOn w:val="DefaultParagraphFont"/>
    <w:link w:val="Ttulo3"/>
    <w:uiPriority w:val="9"/>
    <w:qFormat/>
    <w:rsid w:val="00841cd9"/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Ttulo4Char" w:customStyle="1">
    <w:name w:val="Título 4 Char"/>
    <w:basedOn w:val="DefaultParagraphFont"/>
    <w:link w:val="Ttulo4"/>
    <w:uiPriority w:val="9"/>
    <w:qFormat/>
    <w:rsid w:val="00841cd9"/>
    <w:rPr>
      <w:rFonts w:ascii="Cambria" w:hAnsi="Cambria"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tuloChar" w:customStyle="1">
    <w:name w:val="Subtítulo Char"/>
    <w:basedOn w:val="DefaultParagraphFont"/>
    <w:link w:val="Subttulo"/>
    <w:uiPriority w:val="11"/>
    <w:qFormat/>
    <w:rsid w:val="00841cd9"/>
    <w:rPr>
      <w:rFonts w:ascii="Cambria" w:hAnsi="Cambria"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tuloChar" w:customStyle="1">
    <w:name w:val="Título Char"/>
    <w:basedOn w:val="DefaultParagraphFont"/>
    <w:link w:val="Ttulo"/>
    <w:uiPriority w:val="10"/>
    <w:qFormat/>
    <w:rsid w:val="00841cd9"/>
    <w:rPr>
      <w:rFonts w:ascii="Cambria" w:hAnsi="Cambria" w:eastAsia="" w:cs="" w:asciiTheme="majorHAnsi" w:cstheme="majorBidi" w:eastAsiaTheme="majorEastAsia" w:hAnsiTheme="majorHAnsi"/>
      <w:color w:val="17365D" w:themeColor="text2" w:themeShade="bf"/>
      <w:spacing w:val="5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ff034a"/>
    <w:rPr>
      <w:rFonts w:ascii="Tahoma" w:hAnsi="Tahoma" w:cs="Tahoma"/>
      <w:sz w:val="16"/>
      <w:szCs w:val="16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Corpo de texto"/>
    <w:basedOn w:val="Normal"/>
    <w:pPr>
      <w:spacing w:lineRule="auto" w:line="288" w:before="0" w:after="140"/>
    </w:pPr>
    <w:rPr/>
  </w:style>
  <w:style w:type="paragraph" w:styleId="Lista">
    <w:name w:val="Lista"/>
    <w:basedOn w:val="Corpodetexto"/>
    <w:pPr/>
    <w:rPr>
      <w:rFonts w:cs="Mangal"/>
    </w:rPr>
  </w:style>
  <w:style w:type="paragraph" w:styleId="Legenda">
    <w:name w:val="Legenda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Cabealho">
    <w:name w:val="Cabeçalho"/>
    <w:basedOn w:val="Normal"/>
    <w:link w:val="CabealhoChar"/>
    <w:uiPriority w:val="99"/>
    <w:unhideWhenUsed/>
    <w:rsid w:val="00841cd9"/>
    <w:pPr>
      <w:tabs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ítulo"/>
    <w:basedOn w:val="Normal"/>
    <w:next w:val="Normal"/>
    <w:link w:val="SubttuloChar"/>
    <w:uiPriority w:val="11"/>
    <w:qFormat/>
    <w:rsid w:val="00841cd9"/>
    <w:pPr>
      <w:ind w:left="86" w:hanging="0"/>
    </w:pPr>
    <w:rPr>
      <w:rFonts w:ascii="Cambria" w:hAnsi="Cambria" w:eastAsia="" w:cs="" w:asciiTheme="majorHAnsi" w:cstheme="majorBidi" w:eastAsiaTheme="majorEastAsia" w:hAnsiTheme="majorHAnsi"/>
      <w:i/>
      <w:iCs/>
      <w:color w:val="4F81BD" w:themeColor="accent1"/>
      <w:spacing w:val="15"/>
      <w:szCs w:val="24"/>
    </w:rPr>
  </w:style>
  <w:style w:type="paragraph" w:styleId="Ttulododocumento">
    <w:name w:val="Título do documento"/>
    <w:basedOn w:val="Normal"/>
    <w:next w:val="Normal"/>
    <w:link w:val="Ttulo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ascii="Cambria" w:hAnsi="Cambria" w:eastAsia="" w:cs="" w:asciiTheme="majorHAnsi" w:cstheme="majorBidi" w:eastAsiaTheme="majorEastAsia" w:hAnsiTheme="majorHAnsi"/>
      <w:color w:val="17365D" w:themeColor="text2" w:themeShade="bf"/>
      <w:spacing w:val="5"/>
      <w:sz w:val="52"/>
      <w:szCs w:val="52"/>
    </w:rPr>
  </w:style>
  <w:style w:type="paragraph" w:styleId="ElementoTitulo" w:customStyle="1">
    <w:name w:val="elementoTitulo"/>
    <w:basedOn w:val="Normal"/>
    <w:qFormat/>
    <w:pPr/>
    <w:rPr>
      <w:b/>
    </w:rPr>
  </w:style>
  <w:style w:type="paragraph" w:styleId="ElementoTituloSuperior" w:customStyle="1">
    <w:name w:val="elementoTituloSuperior"/>
    <w:basedOn w:val="ElementoTitulo"/>
    <w:qFormat/>
    <w:pPr>
      <w:spacing w:before="0" w:after="0"/>
      <w:jc w:val="center"/>
    </w:pPr>
    <w:rPr/>
  </w:style>
  <w:style w:type="paragraph" w:styleId="ElementoTituloSuperior2" w:customStyle="1">
    <w:name w:val="elementoTituloSuperior2"/>
    <w:basedOn w:val="ElementoTitulo"/>
    <w:qFormat/>
    <w:pPr>
      <w:spacing w:before="400" w:after="200"/>
      <w:jc w:val="center"/>
    </w:pPr>
    <w:rPr/>
  </w:style>
  <w:style w:type="paragraph" w:styleId="RequerimentoOrigemAudienciaPublica" w:customStyle="1">
    <w:name w:val="requerimentoOrigemAudienciaPublica"/>
    <w:basedOn w:val="Normal"/>
    <w:qFormat/>
    <w:pPr/>
    <w:rPr>
      <w:b/>
      <w:sz w:val="20"/>
    </w:rPr>
  </w:style>
  <w:style w:type="paragraph" w:styleId="TextoTabelaOcorrencias" w:customStyle="1">
    <w:name w:val="textoTabelaOcorrencias"/>
    <w:basedOn w:val="Normal"/>
    <w:qFormat/>
    <w:pPr/>
    <w:rPr>
      <w:b/>
      <w:sz w:val="20"/>
    </w:rPr>
  </w:style>
  <w:style w:type="paragraph" w:styleId="NumeracaoProposicao" w:customStyle="1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 w:customStyle="1">
    <w:name w:val="numeracaoProposicaoVinculo"/>
    <w:basedOn w:val="NumeracaoProposicao"/>
    <w:qFormat/>
    <w:pPr/>
    <w:rPr>
      <w:b/>
      <w:sz w:val="20"/>
    </w:rPr>
  </w:style>
  <w:style w:type="paragraph" w:styleId="NumeracaoProposicaoTitulo" w:customStyle="1">
    <w:name w:val="numeracaoProposicaoTitulo"/>
    <w:basedOn w:val="NumeracaoProposicao"/>
    <w:qFormat/>
    <w:pPr>
      <w:tabs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 w:customStyle="1">
    <w:name w:val="numeracaoNumerosRomanos"/>
    <w:basedOn w:val="Normal"/>
    <w:qFormat/>
    <w:pPr>
      <w:tabs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 w:customStyle="1">
    <w:name w:val="marcadorSimples"/>
    <w:basedOn w:val="Normal"/>
    <w:qFormat/>
    <w:pPr>
      <w:ind w:right="426" w:hanging="284"/>
    </w:pPr>
    <w:rPr/>
  </w:style>
  <w:style w:type="paragraph" w:styleId="TextoEspacamentoDuplo" w:customStyle="1">
    <w:name w:val="textoEspacamentoDuplo"/>
    <w:basedOn w:val="Normal"/>
    <w:qFormat/>
    <w:pPr>
      <w:spacing w:lineRule="auto" w:line="480"/>
    </w:pPr>
    <w:rPr/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ff034a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Rodap">
    <w:name w:val="Rodapé"/>
    <w:basedOn w:val="Normal"/>
    <w:pPr/>
    <w:rPr/>
  </w:style>
  <w:style w:type="numbering" w:styleId="NoList" w:default="1">
    <w:name w:val="No List"/>
    <w:uiPriority w:val="99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Application>LibreOffice/5.0.6.3$Windows_x86 LibreOffice_project/490fc03b25318460cfc54456516ea2519c11d1aa</Application>
  <Paragraphs>95</Paragraphs>
  <Company>CMBH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2022-06-07T18:07:00Z</dcterms:created>
  <dc:creator>Gunther Assunção Costa</dc:creator>
  <dc:language>pt-BR</dc:language>
  <dcterms:modified xsi:type="dcterms:W3CDTF">2022-06-07T15:57:31Z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CMBH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