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16/02/2023 - 09h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ANÚNCIO: Foi anunciado para a Ordem do Dia da 2ª Reunião Extraordinária, do dia 17/02/2023, o Projeto de Lei nº 490/2023.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1ª Reunião Extraordinária.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490/2023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Promove o reajuste da remuneração dos servidores da Câmara Municipal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Mesa - Gabriel; Wesley; Marcela Trópia; Flávia Borja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Mesa</w:t>
      </w:r>
      <w:r>
        <w:rPr/>
        <w:t>: pela constitucionalidade, pela legalidade, pela regimentalidade,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RESOLUÇÃO 480/2023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Resolução nº 1480/90, que contém o Regimento Interno da Câmara Municipal de Belo Horizonte,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Mesa - Gabriel; Professor Juliano Lopes; Wesley; Ciro Pereira; Flávia Borja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>Mesa</w:t>
      </w:r>
      <w:r>
        <w:rPr/>
        <w:t>: pela constitucionalidade, pela legalidade, pela regimentalidade,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180</Words>
  <Characters>1059</Characters>
  <CharactersWithSpaces>1209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