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09/03/2023 - 14h30min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tbl>
      <w:tblPr>
        <w:tblStyle w:val="TableGrid"/>
        <w:tblW w:w="9639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ANÚNCIOS: foram anunciados para a Ordem do Dia da 18ª Reunião Ordinária, do dia 10/03/2023, o Projeto de </w:t>
            </w:r>
            <w:r>
              <w:rPr>
                <w:rFonts w:eastAsia="" w:cs="" w:cstheme="minorBidi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Resolução</w:t>
            </w:r>
            <w:r>
              <w:rPr/>
              <w:t xml:space="preserve"> nº 173/2021; e para a Ordem do Dia da 19ª Reunião Ordinária, do dia 13/03/2023, os Projetos de Lei nº 506/2013, 585/2018, 687/2018, 899/2019, 1035/2020, 11/2021, 213/21, 254/22, 427/22, 442/2022, 446/2022, 479/23.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9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200" w:after="200"/>
              <w:rPr/>
            </w:pPr>
            <w:r>
              <w:rPr/>
              <w:t>Ata aprovada: 15ª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574/2018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permissividade de uso da rua José Laporte Neto.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 xml:space="preserve">Rejeitado </w:t>
            </w:r>
            <w:r>
              <w:rPr/>
              <w:t>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465/2022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Concede quota de terreno por unidade habitacional para empreendimento previsto na Operação Urbana Simplificada Vila Monte São José.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47, de 16/12/2022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Desenvolvimento Econômico, Transporte e Sistema Viário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1220/2014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dos estabelecimentos de saúde do Município afixarem em suas recepções e demais dependências cartazes ou placas informativas sobre a liberdade de assistência religiosa aos pacientes.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Fernando Luiz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Interrompida a discussão (por requerimento)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pauta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1220/2014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228/2023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do(s) seguinte(s) dispositivo(s): Destaque - § 1º do Art. 1º do Projeto de Lei 1220/2014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Marcela Trópia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6/2017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sistema de segurança em atividade ou evento com aglomeração de público.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rejeição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Rejeitado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9/2017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Proíbe no âmbito do Município de Belo Horizonte, a inauguração e entrega de obras públicas incompletas ou que concluídas, não atendam ao fim a que se destinam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Rejeitado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146/2017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Segurança e a Proteção Municipal Preventiva pela Guarda Municipal nos principais Centros comerciais do Município.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Álvaro Damião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rejeição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 na parte não destacada. Rejeitado o artigo 2º do projeto em votação destacada.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146/2017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229/2023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do(s) seguinte(s) dispositivo(s): Destaque - Art. 2º do Projeto de Lei 146/2017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Marcela Trópia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209/2017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publicação gratuita de fotografias e dados referentes a pessoas desaparecidas no Diário Oficial do Município, e dá outras providências 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55/2021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8.616/03, que contém o Código de Posturas do Município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Wesley Moreira; Irlan Melo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regimentalidade, com apresentação de emenda(s)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aprovação, com apresentação de emenda(s)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rejeição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pauta em razão do deferimento do Requerimento nº 227/23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4</Pages>
  <Words>787</Words>
  <Characters>4717</Characters>
  <CharactersWithSpaces>5417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2023-03-09T16:33:19Z</dcterms:modified>
  <cp:revision>4</cp:revision>
  <dc:subject/>
  <dc:title/>
</cp:coreProperties>
</file>