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EDUCAÇÃO, CIÊNCIA, TECNOLOGIA, CULTURA, DESPORTO, LAZER E TURISMO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23/03/2023 - 11h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513/2023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garantia do direito de preferência das mulheres vítimas de violência doméstica à matricula e à transferência dos filhos, ou de crianças e adolescentes sob sua guarda, nas escolas da Rede Municipal de Ensino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Cida Falabella; Fernanda Pereira Altoé; Flávia Borja; Iza Lourença; Janaina Cardoso; Loíde Gonçalves; Marcela Trópia; Marilda Portela; Professora Marli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LibreOffice/6.3.4.2$Windows_X86_64 LibreOffice_project/60da17e045e08f1793c57c00ba83cdfce946d0aa</Application>
  <Pages>1</Pages>
  <Words>145</Words>
  <Characters>855</Characters>
  <CharactersWithSpaces>976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2023-03-23T11:08:06Z</dcterms:modified>
  <cp:revision>1</cp:revision>
  <dc:subject/>
  <dc:title/>
</cp:coreProperties>
</file>