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DIREITOS HUMANOS, HABITAÇÃO, IGUALDADE RACIAL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25/04/2023 - 09h30min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987/2023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Secretária Municipal de Assistência Social, Segurança Alimentar e Cidadania, Rosilene Rocha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unidade da Rede Abastecer, situada Av. Padre José Maurício, 311, no Bairro Nova Cintra.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316/2022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Torna obrigatória a afixação de cartaz com informações suficientes para denunciar a presença de criança ou adolescente em estabelecimento que comercialize produtos com conotação sexual ou erótica.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parecer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Designado novo Relator o Ver. Pedro Patrus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400/2022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proteção de consciência e de crença nas instituições religiosas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457/2022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§§ 6º e 7º ao art. 60 da Lei nº 11.416/22, que "Institui a Lei Municipal de Inclusão da Pessoa com Mobilidade Reduzida".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467/2023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funcionamento de estabelecimento comercial, industrial ou de prestação de serviço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Janaina Cardoso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2</Pages>
  <Words>325</Words>
  <Characters>1912</Characters>
  <CharactersWithSpaces>2181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