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05/07/2023 - 13h30min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17ª e 18ª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1712/2023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Tomar providências para definir a destinação de imóvel público na Rua Álvaro da Silveira, nº 790, na esquina com a Rua Sebastião Rabelo, Bairro Santa Margarida, em que outrora funcionava a Associação dos Moradores do Bairro Santa Margarida, que vem sendo usado para práticas ilícitas.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14 de julho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Álvaro da Silveira, nº 790, esquina com Rua Sebastião Rabelo, Bairro Santa Margarida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1732/2023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possível recomposição e pavimentação asfáltica em trecho da Rua Paulo Timóteo do Nascimento, compreendido entre as ruas Glaura e São Leopoldo, bairro Santa Cruz.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31 de julho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Paulo Timóteo do Nascimento, Bairro Santa Cruz, com ponto de encontro no nº 319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1733/2023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Governo, Josué Costa Valadão; gerente regional de Manutenção Norte, Natália Luana Oliveira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o relatório, feito pela GERMAN, da visita técnica realizada no dia 29/05/2023 as 14h30, na Avenida Cristiano Machado, próximo ao nº 10.689.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1734/2023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a situação dos carroceiros diante da diminuição do prazo para o fim dos veículos de tração animal em BH.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12 de julho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Rejeitado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1735/2023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Solicitar a implantação de equipamentos diversos na Praça Oscarina Benedicta de Moura, entre a Rua Walmique Santos e Rua Senhora do Porto, no Bairro Palmeiras, como bancos, brinquedos, academia a céu aberto, iluminação e jardinagem.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27 de julho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Praça Oscarina Benedicta de Moura, entre Rua Walmique Santos e Rua Senhora do Porto, Bairro Palmeiras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1736/2023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Governo, Josué Costa Valadão; e ao Secretário Municipal de Obras e Infraestrutura, Leandro César Pereira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cópia do projeto de reforma da pista de caminhada da via 240, bairro Tupi, Belo Horizonte/MG, conforme solicitado pelo ofício 354/2023; bem como sejam respondidos os seguintes quesitos: 1. Existe previsão de início e término para a obra de reforma da pista de caminhada da via 240?  2. O projeto de reforma já está pronto? Se sim, peço que encaminhe o projeto.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1741/2023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Prefeitura de Belo Horizonte, na pessoa do prefeito Fuad Noman, e Empresa de Informática e Informação do Município de Belo Horizonte (Prodabel), na pessoa do diretor-presidente da Prodabel Jean Mattos Duarte.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um lote vago localizado na avenida Portugal, próximo ao número 5000, bairro Itapoã.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316/2022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Torna obrigatória a afixação de cartaz com informações suficientes para denunciar a presença de criança ou adolescente em estabelecimento que comercialize produtos com conotação sexual ou erótica.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527/2023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Cria a política de estímulo à inovação por meio do Ambiente Regulatório Experimental de Belo Horizonte - BH Sandbox, nos termos do art. 11 da Lei Complementar Federal nº 182/21.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Roberto da Farmácia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602/2023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Modifica a redação do art. 29 da Lei nº 10.836 de 29 de julho de 2015.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Wilsinho da Tabu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1206/2023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515/2023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Governo;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4</Pages>
  <Words>784</Words>
  <Characters>4494</Characters>
  <CharactersWithSpaces>5170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2023-07-05T14:44:42Z</dcterms:modified>
  <cp:revision>2</cp:revision>
  <dc:subject/>
  <dc:title/>
</cp:coreProperties>
</file>