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23/10/2023 - 10h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rPr/>
      </w:pPr>
      <w:r>
        <w:rPr/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2826/2023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o Projeto de Lei da Revisão do Plano Plurianual 2022-2025 e o Projeto de Lei do Orçamento Anual 2024 nas seguintes áreas de resultado: Saúde, Educação, Cultura, Políticas Sociais e Esportes, Desenvolvimento Econômico e Turismo, Atendimento ao Cidadão.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outubro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745/2023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conceder, por meio de programa específico e temporário, descontos para pagamento, à vista ou parcelado, de créditos em favor do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29, de 25/09/2023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Juninho Los Hermanos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746/2023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programa de regularização de débitos relacionados ao valor da outorga fixado na Concorrência Pública n° 01/2016 - BHTRANS.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33, de 29/09/2023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Cleiton Xavier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749/2023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créditos adicionais ao orçamento vigente para execução dos recursos complementares recebidos pelo Município no âmbito da assistência financeira complementar para cumprimento do piso salarial nacional de enfermeiros.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35, de 10/10/2023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José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750/2023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8.502, de 6 março de 2003, que dispõe sobre a política municipal de atendimento dos direitos da criança e do adolescente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36, de 10/10/2023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Cleiton Xavier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2</Pages>
  <Words>348</Words>
  <Characters>2033</Characters>
  <CharactersWithSpaces>2328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2023-10-23T10:23:44Z</dcterms:modified>
  <cp:revision>1</cp:revision>
  <dc:subject/>
  <dc:title/>
</cp:coreProperties>
</file>